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A" w:rsidRDefault="00E3732A" w:rsidP="0034772D">
      <w:pPr>
        <w:pStyle w:val="Heading1"/>
      </w:pPr>
    </w:p>
    <w:p w:rsidR="00C51A97" w:rsidRDefault="00C51A97" w:rsidP="00E3732A"/>
    <w:p w:rsidR="00C51A97" w:rsidRDefault="00C51A97" w:rsidP="00E3732A"/>
    <w:p w:rsidR="00C51A97" w:rsidRDefault="00C51A97" w:rsidP="00E3732A"/>
    <w:p w:rsidR="00C51A97" w:rsidRDefault="00C51A97" w:rsidP="00E3732A"/>
    <w:p w:rsidR="00C51A97" w:rsidRDefault="00C51A97" w:rsidP="00E3732A"/>
    <w:p w:rsidR="0002306E" w:rsidRDefault="00F53660" w:rsidP="00C51A97">
      <w:pPr>
        <w:pStyle w:val="Heading1"/>
      </w:pPr>
      <w:r>
        <w:t>SME</w:t>
      </w:r>
      <w:r w:rsidR="00C51A97">
        <w:t xml:space="preserve"> </w:t>
      </w:r>
      <w:r w:rsidR="004E7439">
        <w:t>Statement</w:t>
      </w:r>
    </w:p>
    <w:p w:rsidR="0002306E" w:rsidRDefault="0002306E" w:rsidP="0002306E">
      <w:pPr>
        <w:rPr>
          <w:rFonts w:asciiTheme="majorHAnsi" w:eastAsiaTheme="majorEastAsia" w:hAnsiTheme="majorHAnsi" w:cstheme="majorBidi"/>
          <w:color w:val="365F91" w:themeColor="accent1" w:themeShade="BF"/>
          <w:sz w:val="32"/>
          <w:szCs w:val="32"/>
        </w:rPr>
      </w:pPr>
      <w:r>
        <w:br w:type="page"/>
      </w:r>
    </w:p>
    <w:sdt>
      <w:sdtPr>
        <w:id w:val="-1186197745"/>
        <w:docPartObj>
          <w:docPartGallery w:val="Cover Pages"/>
          <w:docPartUnique/>
        </w:docPartObj>
      </w:sdtPr>
      <w:sdtEndPr/>
      <w:sdtContent>
        <w:p w:rsidR="000E04E4" w:rsidRDefault="0002306E" w:rsidP="000E04E4">
          <w:pPr>
            <w:spacing w:after="0" w:line="240" w:lineRule="auto"/>
            <w:contextualSpacing/>
            <w:rPr>
              <w:rStyle w:val="Heading1Char"/>
            </w:rPr>
          </w:pPr>
          <w:r w:rsidRPr="0002306E">
            <w:rPr>
              <w:rStyle w:val="Heading1Char"/>
            </w:rPr>
            <w:t>Introduction</w:t>
          </w:r>
        </w:p>
        <w:p w:rsidR="000E04E4" w:rsidRDefault="000E04E4" w:rsidP="000E04E4">
          <w:pPr>
            <w:spacing w:after="0" w:line="240" w:lineRule="auto"/>
            <w:contextualSpacing/>
            <w:rPr>
              <w:rStyle w:val="Heading1Char"/>
            </w:rPr>
          </w:pPr>
        </w:p>
        <w:p w:rsidR="00A95588" w:rsidRDefault="00A95588" w:rsidP="00A95588">
          <w:pPr>
            <w:spacing w:after="0" w:line="240" w:lineRule="auto"/>
            <w:contextualSpacing/>
            <w:jc w:val="both"/>
          </w:pPr>
          <w:r>
            <w:t>NWUPC Ltd is a not for profit organisation limited by member guarantee working predominately in the North West region on behalf of Higher Education Institutions but with a commodity specific national reach.  We have 22 full members who “own” NWUPC as well as additional associate and affiliate members who utilise our services but do not have voting rights.</w:t>
          </w:r>
        </w:p>
        <w:p w:rsidR="00A95588" w:rsidRDefault="00A95588" w:rsidP="00A95588">
          <w:pPr>
            <w:spacing w:after="0" w:line="240" w:lineRule="auto"/>
            <w:contextualSpacing/>
            <w:jc w:val="both"/>
            <w:rPr>
              <w:rFonts w:eastAsia="Arial Unicode MS" w:cstheme="minorHAnsi"/>
            </w:rPr>
          </w:pPr>
        </w:p>
        <w:p w:rsidR="00246C07" w:rsidRDefault="00A95588" w:rsidP="00246C07">
          <w:pPr>
            <w:spacing w:after="0" w:line="240" w:lineRule="auto"/>
            <w:contextualSpacing/>
            <w:jc w:val="both"/>
            <w:rPr>
              <w:rFonts w:eastAsia="Arial Unicode MS" w:cstheme="minorHAnsi"/>
            </w:rPr>
          </w:pPr>
          <w:r>
            <w:rPr>
              <w:rFonts w:eastAsia="Arial Unicode MS" w:cstheme="minorHAnsi"/>
            </w:rPr>
            <w:t>The aim of NWUPC Ltd is to provide a structure for higher education institutions mutually to secure value for money in matters relating to the purchasing of goods and services.</w:t>
          </w:r>
          <w:r w:rsidR="00246C07">
            <w:rPr>
              <w:rFonts w:eastAsia="Arial Unicode MS" w:cstheme="minorHAnsi"/>
            </w:rPr>
            <w:t xml:space="preserve">  </w:t>
          </w:r>
        </w:p>
        <w:p w:rsidR="00246C07" w:rsidRDefault="00246C07" w:rsidP="00246C07">
          <w:pPr>
            <w:spacing w:after="0" w:line="240" w:lineRule="auto"/>
            <w:contextualSpacing/>
            <w:jc w:val="both"/>
            <w:rPr>
              <w:rFonts w:eastAsia="Arial Unicode MS" w:cstheme="minorHAnsi"/>
            </w:rPr>
          </w:pPr>
        </w:p>
        <w:p w:rsidR="000E04E4" w:rsidRDefault="000E04E4" w:rsidP="00246C07">
          <w:pPr>
            <w:spacing w:after="0" w:line="240" w:lineRule="auto"/>
            <w:contextualSpacing/>
            <w:jc w:val="both"/>
          </w:pPr>
          <w:r>
            <w:t>We understand that to offer the best value for money for our members we need to engage with suppliers of all sizes and make it easier for Small and Medium Enterprises (SMEs)</w:t>
          </w:r>
          <w:r w:rsidR="00707B6A">
            <w:rPr>
              <w:rStyle w:val="EndnoteReference"/>
            </w:rPr>
            <w:endnoteReference w:id="1"/>
          </w:r>
          <w:r>
            <w:t xml:space="preserve"> to tender for HE Frameworks.  We currently have a supplier base of </w:t>
          </w:r>
          <w:r w:rsidR="00707B6A">
            <w:t>176</w:t>
          </w:r>
          <w:r>
            <w:t xml:space="preserve"> </w:t>
          </w:r>
          <w:r w:rsidR="00707B6A">
            <w:t xml:space="preserve">companies </w:t>
          </w:r>
          <w:r>
            <w:t xml:space="preserve">including organisations of various structures and sizes with </w:t>
          </w:r>
          <w:r w:rsidR="00A95588">
            <w:t xml:space="preserve">currently </w:t>
          </w:r>
          <w:r>
            <w:t xml:space="preserve">47% of these </w:t>
          </w:r>
          <w:r w:rsidR="00707B6A">
            <w:t>c</w:t>
          </w:r>
          <w:r>
            <w:t>lassed as SMEs.</w:t>
          </w:r>
          <w:r w:rsidR="00707B6A">
            <w:t xml:space="preserve">  Whilst this is a significant figure we hope to grow this in the future.</w:t>
          </w:r>
        </w:p>
        <w:p w:rsidR="00246C07" w:rsidRDefault="00246C07" w:rsidP="00246C07">
          <w:pPr>
            <w:spacing w:after="0" w:line="240" w:lineRule="auto"/>
            <w:contextualSpacing/>
            <w:jc w:val="both"/>
          </w:pPr>
        </w:p>
        <w:p w:rsidR="00D0268C" w:rsidRPr="00633958" w:rsidRDefault="00D0268C" w:rsidP="00D0268C">
          <w:pPr>
            <w:pStyle w:val="Heading1"/>
            <w:rPr>
              <w:rFonts w:eastAsia="Arial Unicode MS"/>
            </w:rPr>
          </w:pPr>
          <w:r w:rsidRPr="00633958">
            <w:rPr>
              <w:rFonts w:eastAsia="Arial Unicode MS"/>
            </w:rPr>
            <w:t xml:space="preserve">NWUPC’s Commitment to </w:t>
          </w:r>
          <w:r w:rsidR="00F53660">
            <w:rPr>
              <w:rFonts w:eastAsia="Arial Unicode MS"/>
            </w:rPr>
            <w:t>SME’s</w:t>
          </w:r>
        </w:p>
        <w:p w:rsidR="00D0268C" w:rsidRPr="00633958" w:rsidRDefault="00D0268C" w:rsidP="00D0268C">
          <w:pPr>
            <w:spacing w:after="0" w:line="240" w:lineRule="auto"/>
            <w:contextualSpacing/>
            <w:jc w:val="both"/>
            <w:rPr>
              <w:rFonts w:eastAsia="Arial Unicode MS" w:cstheme="minorHAnsi"/>
            </w:rPr>
          </w:pPr>
        </w:p>
        <w:p w:rsidR="00F53660" w:rsidRDefault="00246C07" w:rsidP="00D0268C">
          <w:pPr>
            <w:spacing w:after="0" w:line="240" w:lineRule="auto"/>
            <w:contextualSpacing/>
            <w:jc w:val="both"/>
            <w:rPr>
              <w:rFonts w:eastAsia="Arial Unicode MS" w:cstheme="minorHAnsi"/>
            </w:rPr>
          </w:pPr>
          <w:r>
            <w:rPr>
              <w:rFonts w:eastAsia="Arial Unicode MS" w:cstheme="minorHAnsi"/>
            </w:rPr>
            <w:t xml:space="preserve">NWUPC </w:t>
          </w:r>
          <w:r w:rsidR="00DF3DFF">
            <w:rPr>
              <w:rFonts w:eastAsia="Arial Unicode MS" w:cstheme="minorHAnsi"/>
            </w:rPr>
            <w:t xml:space="preserve">recognise </w:t>
          </w:r>
          <w:r>
            <w:rPr>
              <w:rFonts w:eastAsia="Arial Unicode MS" w:cstheme="minorHAnsi"/>
            </w:rPr>
            <w:t xml:space="preserve">that SMEs can </w:t>
          </w:r>
          <w:r w:rsidR="00DF3DFF">
            <w:rPr>
              <w:rFonts w:eastAsia="Arial Unicode MS" w:cstheme="minorHAnsi"/>
            </w:rPr>
            <w:t xml:space="preserve">offer members greater flexibility, expertise, service and customisation but often have difficulties accessing public sector contracts.  </w:t>
          </w:r>
          <w:r w:rsidR="00D0268C" w:rsidRPr="00633958">
            <w:rPr>
              <w:rFonts w:eastAsia="Arial Unicode MS" w:cstheme="minorHAnsi"/>
            </w:rPr>
            <w:t xml:space="preserve">NWUPC is committed to </w:t>
          </w:r>
          <w:r w:rsidR="00DF3DFF">
            <w:rPr>
              <w:rFonts w:eastAsia="Arial Unicode MS" w:cstheme="minorHAnsi"/>
            </w:rPr>
            <w:t>removing the barriers for SME</w:t>
          </w:r>
          <w:r w:rsidR="00F53660">
            <w:rPr>
              <w:rFonts w:eastAsia="Arial Unicode MS" w:cstheme="minorHAnsi"/>
            </w:rPr>
            <w:t xml:space="preserve">s to engage with our </w:t>
          </w:r>
          <w:r w:rsidR="00D0268C" w:rsidRPr="00633958">
            <w:rPr>
              <w:rFonts w:eastAsia="Arial Unicode MS" w:cstheme="minorHAnsi"/>
            </w:rPr>
            <w:t xml:space="preserve">framework agreements </w:t>
          </w:r>
          <w:r w:rsidR="00F53660">
            <w:rPr>
              <w:rFonts w:eastAsia="Arial Unicode MS" w:cstheme="minorHAnsi"/>
            </w:rPr>
            <w:t>and promote easier access for small businesses</w:t>
          </w:r>
          <w:r w:rsidR="00DF3DFF">
            <w:rPr>
              <w:rFonts w:eastAsia="Arial Unicode MS" w:cstheme="minorHAnsi"/>
            </w:rPr>
            <w:t xml:space="preserve"> where they offer members better value for money</w:t>
          </w:r>
          <w:r w:rsidR="00F53660">
            <w:rPr>
              <w:rFonts w:eastAsia="Arial Unicode MS" w:cstheme="minorHAnsi"/>
            </w:rPr>
            <w:t>.</w:t>
          </w:r>
          <w:r w:rsidR="00D0268C" w:rsidRPr="00633958">
            <w:rPr>
              <w:rFonts w:eastAsia="Arial Unicode MS" w:cstheme="minorHAnsi"/>
            </w:rPr>
            <w:t xml:space="preserve"> </w:t>
          </w:r>
        </w:p>
        <w:p w:rsidR="00DF3DFF" w:rsidRDefault="00DF3DFF" w:rsidP="00D0268C">
          <w:pPr>
            <w:spacing w:after="0" w:line="240" w:lineRule="auto"/>
            <w:contextualSpacing/>
            <w:jc w:val="both"/>
            <w:rPr>
              <w:rFonts w:eastAsia="Arial Unicode MS" w:cstheme="minorHAnsi"/>
            </w:rPr>
          </w:pPr>
        </w:p>
        <w:p w:rsidR="00D0268C" w:rsidRDefault="00D0268C" w:rsidP="003E7C5F">
          <w:pPr>
            <w:spacing w:after="0" w:line="240" w:lineRule="auto"/>
            <w:contextualSpacing/>
            <w:jc w:val="both"/>
            <w:rPr>
              <w:rFonts w:eastAsia="Arial Unicode MS" w:cstheme="minorHAnsi"/>
            </w:rPr>
          </w:pPr>
          <w:r w:rsidRPr="00633958">
            <w:rPr>
              <w:rFonts w:eastAsia="Arial Unicode MS" w:cstheme="minorHAnsi"/>
            </w:rPr>
            <w:t>NWUPC is committed to</w:t>
          </w:r>
          <w:r w:rsidR="00F53660">
            <w:rPr>
              <w:rFonts w:eastAsia="Arial Unicode MS" w:cstheme="minorHAnsi"/>
            </w:rPr>
            <w:t xml:space="preserve"> reducing the barrier for SME’s by</w:t>
          </w:r>
          <w:r w:rsidRPr="00633958">
            <w:rPr>
              <w:rFonts w:eastAsia="Arial Unicode MS" w:cstheme="minorHAnsi"/>
            </w:rPr>
            <w:t>:</w:t>
          </w:r>
        </w:p>
        <w:p w:rsidR="00DF3DFF" w:rsidRDefault="00DF3DFF" w:rsidP="003E7C5F">
          <w:pPr>
            <w:spacing w:after="0" w:line="240" w:lineRule="auto"/>
            <w:contextualSpacing/>
            <w:jc w:val="both"/>
            <w:rPr>
              <w:rFonts w:eastAsia="Arial Unicode MS" w:cstheme="minorHAnsi"/>
            </w:rPr>
          </w:pPr>
        </w:p>
        <w:p w:rsidR="00F53660" w:rsidRDefault="00D87F9E" w:rsidP="00F53660">
          <w:pPr>
            <w:pStyle w:val="ListParagraph"/>
            <w:numPr>
              <w:ilvl w:val="0"/>
              <w:numId w:val="7"/>
            </w:numPr>
            <w:contextualSpacing/>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Rationalising</w:t>
          </w:r>
          <w:r w:rsidR="00F53660" w:rsidRPr="00F53660">
            <w:rPr>
              <w:rFonts w:asciiTheme="minorHAnsi" w:eastAsia="Arial Unicode MS" w:hAnsiTheme="minorHAnsi" w:cstheme="minorHAnsi"/>
              <w:sz w:val="22"/>
              <w:szCs w:val="22"/>
            </w:rPr>
            <w:t xml:space="preserve"> the requirements of the PQQ for all Frameworks and </w:t>
          </w:r>
          <w:r w:rsidR="00DF3DFF">
            <w:rPr>
              <w:rFonts w:asciiTheme="minorHAnsi" w:eastAsia="Arial Unicode MS" w:hAnsiTheme="minorHAnsi" w:cstheme="minorHAnsi"/>
              <w:sz w:val="22"/>
              <w:szCs w:val="22"/>
            </w:rPr>
            <w:t xml:space="preserve">ensuring that criteria set does </w:t>
          </w:r>
          <w:r>
            <w:rPr>
              <w:rFonts w:asciiTheme="minorHAnsi" w:eastAsia="Arial Unicode MS" w:hAnsiTheme="minorHAnsi" w:cstheme="minorHAnsi"/>
              <w:sz w:val="22"/>
              <w:szCs w:val="22"/>
            </w:rPr>
            <w:t xml:space="preserve">not directly or indirectly disadvantage </w:t>
          </w:r>
          <w:r w:rsidR="00DF3DFF">
            <w:rPr>
              <w:rFonts w:asciiTheme="minorHAnsi" w:eastAsia="Arial Unicode MS" w:hAnsiTheme="minorHAnsi" w:cstheme="minorHAnsi"/>
              <w:sz w:val="22"/>
              <w:szCs w:val="22"/>
            </w:rPr>
            <w:t>SMEs</w:t>
          </w:r>
          <w:r>
            <w:rPr>
              <w:rFonts w:asciiTheme="minorHAnsi" w:eastAsia="Arial Unicode MS" w:hAnsiTheme="minorHAnsi" w:cstheme="minorHAnsi"/>
              <w:sz w:val="22"/>
              <w:szCs w:val="22"/>
            </w:rPr>
            <w:t>.</w:t>
          </w:r>
        </w:p>
        <w:p w:rsidR="00DF3DFF" w:rsidRPr="00F53660" w:rsidRDefault="00DF3DFF" w:rsidP="00DF3DFF">
          <w:pPr>
            <w:pStyle w:val="ListParagraph"/>
            <w:contextualSpacing/>
            <w:jc w:val="both"/>
            <w:rPr>
              <w:rFonts w:asciiTheme="minorHAnsi" w:eastAsia="Arial Unicode MS" w:hAnsiTheme="minorHAnsi" w:cstheme="minorHAnsi"/>
              <w:sz w:val="22"/>
              <w:szCs w:val="22"/>
            </w:rPr>
          </w:pPr>
        </w:p>
        <w:p w:rsidR="00707B6A" w:rsidRDefault="00D87F9E" w:rsidP="00707B6A">
          <w:pPr>
            <w:pStyle w:val="ListParagraph"/>
            <w:numPr>
              <w:ilvl w:val="0"/>
              <w:numId w:val="7"/>
            </w:numPr>
            <w:contextualSpacing/>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Considering</w:t>
          </w:r>
          <w:r w:rsidR="00F53660" w:rsidRPr="00F53660">
            <w:rPr>
              <w:rFonts w:asciiTheme="minorHAnsi" w:eastAsia="Arial Unicode MS" w:hAnsiTheme="minorHAnsi" w:cstheme="minorHAnsi"/>
              <w:sz w:val="22"/>
              <w:szCs w:val="22"/>
            </w:rPr>
            <w:t xml:space="preserve"> the business needs of the small enterprise </w:t>
          </w:r>
          <w:r w:rsidR="00DF3DFF">
            <w:rPr>
              <w:rFonts w:asciiTheme="minorHAnsi" w:eastAsia="Arial Unicode MS" w:hAnsiTheme="minorHAnsi" w:cstheme="minorHAnsi"/>
              <w:sz w:val="22"/>
              <w:szCs w:val="22"/>
            </w:rPr>
            <w:t xml:space="preserve">and taking them </w:t>
          </w:r>
          <w:r w:rsidR="00F53660" w:rsidRPr="00F53660">
            <w:rPr>
              <w:rFonts w:asciiTheme="minorHAnsi" w:eastAsia="Arial Unicode MS" w:hAnsiTheme="minorHAnsi" w:cstheme="minorHAnsi"/>
              <w:sz w:val="22"/>
              <w:szCs w:val="22"/>
            </w:rPr>
            <w:t>into account when designing the procurement process on a commodity specific basis.</w:t>
          </w:r>
        </w:p>
        <w:p w:rsidR="00707B6A" w:rsidRPr="00707B6A" w:rsidRDefault="00707B6A" w:rsidP="00707B6A">
          <w:pPr>
            <w:pStyle w:val="ListParagraph"/>
            <w:rPr>
              <w:rFonts w:asciiTheme="minorHAnsi" w:eastAsia="Arial Unicode MS" w:hAnsiTheme="minorHAnsi" w:cstheme="minorHAnsi"/>
              <w:sz w:val="22"/>
              <w:szCs w:val="22"/>
            </w:rPr>
          </w:pPr>
        </w:p>
        <w:p w:rsidR="00707B6A" w:rsidRDefault="00707B6A" w:rsidP="00F53660">
          <w:pPr>
            <w:pStyle w:val="ListParagraph"/>
            <w:numPr>
              <w:ilvl w:val="0"/>
              <w:numId w:val="7"/>
            </w:numPr>
            <w:contextualSpacing/>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Pre-engaging with SMEs to ensure they are aware of future opportunities and how to complete tender documents.</w:t>
          </w:r>
        </w:p>
        <w:p w:rsidR="00707B6A" w:rsidRPr="00707B6A" w:rsidRDefault="00707B6A" w:rsidP="00707B6A">
          <w:pPr>
            <w:pStyle w:val="ListParagraph"/>
            <w:rPr>
              <w:rFonts w:asciiTheme="minorHAnsi" w:eastAsia="Arial Unicode MS" w:hAnsiTheme="minorHAnsi" w:cstheme="minorHAnsi"/>
              <w:sz w:val="22"/>
              <w:szCs w:val="22"/>
            </w:rPr>
          </w:pPr>
        </w:p>
        <w:p w:rsidR="00707B6A" w:rsidRDefault="00F53660" w:rsidP="00A624FE">
          <w:pPr>
            <w:pStyle w:val="ListParagraph"/>
            <w:numPr>
              <w:ilvl w:val="0"/>
              <w:numId w:val="7"/>
            </w:numPr>
            <w:contextualSpacing/>
            <w:jc w:val="both"/>
            <w:rPr>
              <w:rFonts w:asciiTheme="minorHAnsi" w:eastAsia="Arial Unicode MS" w:hAnsiTheme="minorHAnsi" w:cstheme="minorHAnsi"/>
              <w:sz w:val="22"/>
              <w:szCs w:val="22"/>
            </w:rPr>
          </w:pPr>
          <w:r w:rsidRPr="00707B6A">
            <w:rPr>
              <w:rFonts w:asciiTheme="minorHAnsi" w:eastAsia="Arial Unicode MS" w:hAnsiTheme="minorHAnsi" w:cstheme="minorHAnsi"/>
              <w:sz w:val="22"/>
              <w:szCs w:val="22"/>
            </w:rPr>
            <w:t xml:space="preserve">Making opportunities easier to find </w:t>
          </w:r>
          <w:r w:rsidR="00707B6A" w:rsidRPr="00707B6A">
            <w:rPr>
              <w:rFonts w:asciiTheme="minorHAnsi" w:eastAsia="Arial Unicode MS" w:hAnsiTheme="minorHAnsi" w:cstheme="minorHAnsi"/>
              <w:sz w:val="22"/>
              <w:szCs w:val="22"/>
            </w:rPr>
            <w:t xml:space="preserve">by making them all accessible on one </w:t>
          </w:r>
          <w:r w:rsidR="00707B6A">
            <w:rPr>
              <w:rFonts w:asciiTheme="minorHAnsi" w:eastAsia="Arial Unicode MS" w:hAnsiTheme="minorHAnsi" w:cstheme="minorHAnsi"/>
              <w:sz w:val="22"/>
              <w:szCs w:val="22"/>
            </w:rPr>
            <w:t xml:space="preserve">free of charge </w:t>
          </w:r>
          <w:r w:rsidR="00707B6A" w:rsidRPr="00707B6A">
            <w:rPr>
              <w:rFonts w:asciiTheme="minorHAnsi" w:eastAsia="Arial Unicode MS" w:hAnsiTheme="minorHAnsi" w:cstheme="minorHAnsi"/>
              <w:sz w:val="22"/>
              <w:szCs w:val="22"/>
            </w:rPr>
            <w:t>online</w:t>
          </w:r>
          <w:r w:rsidRPr="00707B6A">
            <w:rPr>
              <w:rFonts w:asciiTheme="minorHAnsi" w:eastAsia="Arial Unicode MS" w:hAnsiTheme="minorHAnsi" w:cstheme="minorHAnsi"/>
              <w:sz w:val="22"/>
              <w:szCs w:val="22"/>
            </w:rPr>
            <w:t xml:space="preserve"> portal</w:t>
          </w:r>
          <w:r w:rsidR="00707B6A">
            <w:rPr>
              <w:rFonts w:asciiTheme="minorHAnsi" w:eastAsia="Arial Unicode MS" w:hAnsiTheme="minorHAnsi" w:cstheme="minorHAnsi"/>
              <w:sz w:val="22"/>
              <w:szCs w:val="22"/>
            </w:rPr>
            <w:t>.</w:t>
          </w:r>
        </w:p>
        <w:p w:rsidR="00707B6A" w:rsidRPr="00707B6A" w:rsidRDefault="00707B6A" w:rsidP="00707B6A">
          <w:pPr>
            <w:pStyle w:val="ListParagraph"/>
            <w:rPr>
              <w:rFonts w:asciiTheme="minorHAnsi" w:eastAsia="Arial Unicode MS" w:hAnsiTheme="minorHAnsi" w:cstheme="minorHAnsi"/>
              <w:sz w:val="22"/>
              <w:szCs w:val="22"/>
            </w:rPr>
          </w:pPr>
        </w:p>
        <w:p w:rsidR="00D87F9E" w:rsidRDefault="00D87F9E" w:rsidP="00F53660">
          <w:pPr>
            <w:pStyle w:val="ListParagraph"/>
            <w:numPr>
              <w:ilvl w:val="0"/>
              <w:numId w:val="7"/>
            </w:numPr>
            <w:contextualSpacing/>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Mandating the use of e-tendering to reduce the administrative burden of completing and submitting tender response</w:t>
          </w:r>
          <w:r w:rsidR="00707B6A">
            <w:rPr>
              <w:rFonts w:asciiTheme="minorHAnsi" w:eastAsia="Arial Unicode MS" w:hAnsiTheme="minorHAnsi" w:cstheme="minorHAnsi"/>
              <w:sz w:val="22"/>
              <w:szCs w:val="22"/>
            </w:rPr>
            <w:t>s</w:t>
          </w:r>
          <w:r>
            <w:rPr>
              <w:rFonts w:asciiTheme="minorHAnsi" w:eastAsia="Arial Unicode MS" w:hAnsiTheme="minorHAnsi" w:cstheme="minorHAnsi"/>
              <w:sz w:val="22"/>
              <w:szCs w:val="22"/>
            </w:rPr>
            <w:t>.</w:t>
          </w:r>
        </w:p>
        <w:p w:rsidR="00707B6A" w:rsidRDefault="00707B6A" w:rsidP="00707B6A">
          <w:pPr>
            <w:pStyle w:val="ListParagraph"/>
            <w:contextualSpacing/>
            <w:jc w:val="both"/>
            <w:rPr>
              <w:rFonts w:asciiTheme="minorHAnsi" w:eastAsia="Arial Unicode MS" w:hAnsiTheme="minorHAnsi" w:cstheme="minorHAnsi"/>
              <w:sz w:val="22"/>
              <w:szCs w:val="22"/>
            </w:rPr>
          </w:pPr>
        </w:p>
        <w:p w:rsidR="00F53660" w:rsidRDefault="00F53660" w:rsidP="00F53660">
          <w:pPr>
            <w:pStyle w:val="ListParagraph"/>
            <w:numPr>
              <w:ilvl w:val="0"/>
              <w:numId w:val="7"/>
            </w:numPr>
            <w:contextualSpacing/>
            <w:jc w:val="both"/>
            <w:rPr>
              <w:rFonts w:asciiTheme="minorHAnsi" w:eastAsia="Arial Unicode MS" w:hAnsiTheme="minorHAnsi" w:cstheme="minorHAnsi"/>
              <w:sz w:val="22"/>
              <w:szCs w:val="22"/>
            </w:rPr>
          </w:pPr>
          <w:r w:rsidRPr="00F53660">
            <w:rPr>
              <w:rFonts w:asciiTheme="minorHAnsi" w:eastAsia="Arial Unicode MS" w:hAnsiTheme="minorHAnsi" w:cstheme="minorHAnsi"/>
              <w:sz w:val="22"/>
              <w:szCs w:val="22"/>
            </w:rPr>
            <w:t xml:space="preserve">Making sure small firms are treated fairly by </w:t>
          </w:r>
          <w:r w:rsidR="00707B6A">
            <w:rPr>
              <w:rFonts w:asciiTheme="minorHAnsi" w:eastAsia="Arial Unicode MS" w:hAnsiTheme="minorHAnsi" w:cstheme="minorHAnsi"/>
              <w:sz w:val="22"/>
              <w:szCs w:val="22"/>
            </w:rPr>
            <w:t xml:space="preserve">including </w:t>
          </w:r>
          <w:r w:rsidRPr="00F53660">
            <w:rPr>
              <w:rFonts w:asciiTheme="minorHAnsi" w:eastAsia="Arial Unicode MS" w:hAnsiTheme="minorHAnsi" w:cstheme="minorHAnsi"/>
              <w:sz w:val="22"/>
              <w:szCs w:val="22"/>
            </w:rPr>
            <w:t>prompt payment terms in the conditions of the Framework Agreement.</w:t>
          </w:r>
        </w:p>
        <w:p w:rsidR="00707B6A" w:rsidRPr="00707B6A" w:rsidRDefault="00707B6A" w:rsidP="00707B6A">
          <w:pPr>
            <w:pStyle w:val="ListParagraph"/>
            <w:rPr>
              <w:rFonts w:asciiTheme="minorHAnsi" w:eastAsia="Arial Unicode MS" w:hAnsiTheme="minorHAnsi" w:cstheme="minorHAnsi"/>
              <w:sz w:val="22"/>
              <w:szCs w:val="22"/>
            </w:rPr>
          </w:pPr>
        </w:p>
        <w:p w:rsidR="00707B6A" w:rsidRDefault="00707B6A" w:rsidP="00F53660">
          <w:pPr>
            <w:pStyle w:val="ListParagraph"/>
            <w:numPr>
              <w:ilvl w:val="0"/>
              <w:numId w:val="7"/>
            </w:numPr>
            <w:contextualSpacing/>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Working with members to draw on their supplier base to generate interest in advertised opportunities.</w:t>
          </w:r>
        </w:p>
        <w:p w:rsidR="00707B6A" w:rsidRPr="00707B6A" w:rsidRDefault="00707B6A" w:rsidP="00707B6A">
          <w:pPr>
            <w:pStyle w:val="ListParagraph"/>
            <w:rPr>
              <w:rFonts w:asciiTheme="minorHAnsi" w:eastAsia="Arial Unicode MS" w:hAnsiTheme="minorHAnsi" w:cstheme="minorHAnsi"/>
              <w:sz w:val="22"/>
              <w:szCs w:val="22"/>
            </w:rPr>
          </w:pPr>
        </w:p>
        <w:p w:rsidR="00707B6A" w:rsidRDefault="00707B6A" w:rsidP="007C2F2D">
          <w:pPr>
            <w:spacing w:after="0" w:line="240" w:lineRule="auto"/>
            <w:contextualSpacing/>
            <w:jc w:val="both"/>
            <w:rPr>
              <w:rFonts w:cstheme="minorHAnsi"/>
            </w:rPr>
          </w:pPr>
        </w:p>
        <w:p w:rsidR="00707B6A" w:rsidRDefault="00707B6A" w:rsidP="007C2F2D">
          <w:pPr>
            <w:spacing w:after="0" w:line="240" w:lineRule="auto"/>
            <w:contextualSpacing/>
            <w:jc w:val="both"/>
            <w:rPr>
              <w:rFonts w:cstheme="minorHAnsi"/>
            </w:rPr>
          </w:pPr>
        </w:p>
        <w:p w:rsidR="00707B6A" w:rsidRDefault="00707B6A" w:rsidP="007C2F2D">
          <w:pPr>
            <w:spacing w:after="0" w:line="240" w:lineRule="auto"/>
            <w:contextualSpacing/>
            <w:jc w:val="both"/>
            <w:rPr>
              <w:rFonts w:cstheme="minorHAnsi"/>
            </w:rPr>
          </w:pPr>
        </w:p>
        <w:p w:rsidR="00707B6A" w:rsidRDefault="00707B6A" w:rsidP="007C2F2D">
          <w:pPr>
            <w:spacing w:after="0" w:line="240" w:lineRule="auto"/>
            <w:contextualSpacing/>
            <w:jc w:val="both"/>
            <w:rPr>
              <w:rFonts w:cstheme="minorHAnsi"/>
            </w:rPr>
          </w:pPr>
        </w:p>
        <w:p w:rsidR="00707B6A" w:rsidRDefault="00707B6A" w:rsidP="007C2F2D">
          <w:pPr>
            <w:spacing w:after="0" w:line="240" w:lineRule="auto"/>
            <w:contextualSpacing/>
            <w:jc w:val="both"/>
            <w:rPr>
              <w:rFonts w:cstheme="minorHAnsi"/>
            </w:rPr>
          </w:pPr>
        </w:p>
        <w:p w:rsidR="00D0268C" w:rsidRPr="00D5638F" w:rsidRDefault="0021382A" w:rsidP="007C2F2D">
          <w:pPr>
            <w:spacing w:after="0" w:line="240" w:lineRule="auto"/>
            <w:contextualSpacing/>
            <w:jc w:val="both"/>
            <w:rPr>
              <w:rFonts w:cstheme="minorHAnsi"/>
            </w:rPr>
          </w:pPr>
        </w:p>
      </w:sdtContent>
    </w:sdt>
    <w:p w:rsidR="00D5638F" w:rsidRDefault="005A2474" w:rsidP="005A2474">
      <w:pPr>
        <w:pStyle w:val="Heading1"/>
      </w:pPr>
      <w:r>
        <w:lastRenderedPageBreak/>
        <w:t>Endorsement</w:t>
      </w:r>
    </w:p>
    <w:p w:rsidR="00D5638F" w:rsidRDefault="005A2474" w:rsidP="00D5638F">
      <w:pPr>
        <w:spacing w:after="0" w:line="240" w:lineRule="auto"/>
        <w:contextualSpacing/>
        <w:jc w:val="both"/>
        <w:rPr>
          <w:rFonts w:cstheme="minorHAnsi"/>
        </w:rPr>
      </w:pPr>
      <w:r>
        <w:rPr>
          <w:rFonts w:cstheme="minorHAnsi"/>
        </w:rPr>
        <w:t>The S</w:t>
      </w:r>
      <w:r w:rsidR="00707B6A">
        <w:rPr>
          <w:rFonts w:cstheme="minorHAnsi"/>
        </w:rPr>
        <w:t>ME</w:t>
      </w:r>
      <w:r>
        <w:rPr>
          <w:rFonts w:cstheme="minorHAnsi"/>
        </w:rPr>
        <w:t xml:space="preserve"> </w:t>
      </w:r>
      <w:r w:rsidR="0021382A">
        <w:rPr>
          <w:rFonts w:cstheme="minorHAnsi"/>
        </w:rPr>
        <w:t>Statement</w:t>
      </w:r>
      <w:r>
        <w:rPr>
          <w:rFonts w:cstheme="minorHAnsi"/>
        </w:rPr>
        <w:t xml:space="preserve"> and the Commitment by NWUPC Ltd is led by the S</w:t>
      </w:r>
      <w:r w:rsidR="009B204F">
        <w:rPr>
          <w:rFonts w:cstheme="minorHAnsi"/>
        </w:rPr>
        <w:t xml:space="preserve">ustainable Procurement Champion, Helen Dodd-Williams, Senior Category Manager </w:t>
      </w:r>
      <w:r>
        <w:rPr>
          <w:rFonts w:cstheme="minorHAnsi"/>
        </w:rPr>
        <w:t>and supported by the NWUPC Sustainable Procurement Group.  It will be carried out by the Category Managers who will consider all relevant S</w:t>
      </w:r>
      <w:r w:rsidR="00707B6A">
        <w:rPr>
          <w:rFonts w:cstheme="minorHAnsi"/>
        </w:rPr>
        <w:t>ME</w:t>
      </w:r>
      <w:r>
        <w:rPr>
          <w:rFonts w:cstheme="minorHAnsi"/>
        </w:rPr>
        <w:t xml:space="preserve"> Commitments in their Frameworks and ensure they meet the objectives set.  The work of the Champion is fully endorsed and supported by the Managing Director and NWUPC’s Board of Directors.</w:t>
      </w:r>
    </w:p>
    <w:p w:rsidR="007C2F2D" w:rsidRDefault="007C2F2D" w:rsidP="00D5638F">
      <w:pPr>
        <w:spacing w:after="0" w:line="240" w:lineRule="auto"/>
        <w:contextualSpacing/>
        <w:jc w:val="both"/>
        <w:rPr>
          <w:rFonts w:cstheme="minorHAnsi"/>
        </w:rPr>
      </w:pPr>
    </w:p>
    <w:p w:rsidR="005A2474" w:rsidRDefault="005A2474" w:rsidP="005A2474">
      <w:pPr>
        <w:pStyle w:val="Heading1"/>
      </w:pPr>
      <w:r>
        <w:t>Communication</w:t>
      </w:r>
    </w:p>
    <w:p w:rsidR="005A2474" w:rsidRDefault="00707B6A" w:rsidP="005A2474">
      <w:r>
        <w:t>The SME</w:t>
      </w:r>
      <w:r w:rsidR="005A2474">
        <w:t xml:space="preserve"> </w:t>
      </w:r>
      <w:r w:rsidR="0021382A">
        <w:t xml:space="preserve">Statement </w:t>
      </w:r>
      <w:bookmarkStart w:id="0" w:name="_GoBack"/>
      <w:bookmarkEnd w:id="0"/>
      <w:r w:rsidR="005A2474">
        <w:t xml:space="preserve">is publically available on NWUPC </w:t>
      </w:r>
      <w:proofErr w:type="spellStart"/>
      <w:r w:rsidR="005A2474">
        <w:t>Ltd’s</w:t>
      </w:r>
      <w:proofErr w:type="spellEnd"/>
      <w:r w:rsidR="005A2474">
        <w:t xml:space="preserve"> website and is communicated via the NWUPC SPG, the e-newsletter and the Annual Sustainability Report.</w:t>
      </w:r>
    </w:p>
    <w:p w:rsidR="005A2474" w:rsidRDefault="005A2474" w:rsidP="005A2474"/>
    <w:p w:rsidR="005A2474" w:rsidRDefault="005A2474" w:rsidP="005A2474">
      <w:r>
        <w:t xml:space="preserve">Review Date: </w:t>
      </w:r>
      <w:r w:rsidR="00707B6A">
        <w:t>Dec 2016</w:t>
      </w:r>
    </w:p>
    <w:p w:rsidR="005A2474" w:rsidRDefault="005A2474" w:rsidP="005A2474"/>
    <w:p w:rsidR="005A2474" w:rsidRDefault="005A2474" w:rsidP="005A2474"/>
    <w:p w:rsidR="00707B6A" w:rsidRDefault="00707B6A" w:rsidP="005A2474"/>
    <w:p w:rsidR="00707B6A" w:rsidRDefault="00707B6A" w:rsidP="005A2474"/>
    <w:p w:rsidR="00707B6A" w:rsidRDefault="00707B6A" w:rsidP="005A2474"/>
    <w:p w:rsidR="00707B6A" w:rsidRDefault="00707B6A" w:rsidP="005A2474"/>
    <w:p w:rsidR="00707B6A" w:rsidRDefault="00707B6A"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Default="005A2474" w:rsidP="005A2474"/>
    <w:p w:rsidR="005A2474" w:rsidRPr="005A2474" w:rsidRDefault="005A2474" w:rsidP="005A2474"/>
    <w:sectPr w:rsidR="005A2474" w:rsidRPr="005A2474" w:rsidSect="000762C4">
      <w:footerReference w:type="default" r:id="rId8"/>
      <w:headerReference w:type="first" r:id="rId9"/>
      <w:footerReference w:type="first" r:id="rId10"/>
      <w:pgSz w:w="11906" w:h="16838" w:code="9"/>
      <w:pgMar w:top="1134" w:right="1440" w:bottom="993" w:left="144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84" w:rsidRDefault="00267A84" w:rsidP="001A1B26">
      <w:pPr>
        <w:spacing w:after="0" w:line="240" w:lineRule="auto"/>
      </w:pPr>
      <w:r>
        <w:separator/>
      </w:r>
    </w:p>
  </w:endnote>
  <w:endnote w:type="continuationSeparator" w:id="0">
    <w:p w:rsidR="00267A84" w:rsidRDefault="00267A84" w:rsidP="001A1B26">
      <w:pPr>
        <w:spacing w:after="0" w:line="240" w:lineRule="auto"/>
      </w:pPr>
      <w:r>
        <w:continuationSeparator/>
      </w:r>
    </w:p>
  </w:endnote>
  <w:endnote w:id="1">
    <w:p w:rsidR="00707B6A" w:rsidRPr="000E04E4" w:rsidRDefault="00707B6A" w:rsidP="00707B6A">
      <w:pPr>
        <w:rPr>
          <w:rFonts w:asciiTheme="majorHAnsi" w:eastAsiaTheme="majorEastAsia" w:hAnsiTheme="majorHAnsi" w:cstheme="majorBidi"/>
          <w:color w:val="365F91" w:themeColor="accent1" w:themeShade="BF"/>
          <w:sz w:val="32"/>
          <w:szCs w:val="32"/>
        </w:rPr>
      </w:pPr>
      <w:r>
        <w:rPr>
          <w:rStyle w:val="EndnoteReference"/>
        </w:rPr>
        <w:endnoteRef/>
      </w:r>
      <w:r>
        <w:t xml:space="preserve"> The European Commission states the following factors determine a</w:t>
      </w:r>
      <w:r w:rsidRPr="00717233">
        <w:t>n SME class</w:t>
      </w:r>
      <w:r>
        <w:t>ification</w:t>
      </w:r>
      <w:r w:rsidRPr="00717233">
        <w:t>:</w:t>
      </w:r>
    </w:p>
    <w:p w:rsidR="00707B6A" w:rsidRDefault="00707B6A" w:rsidP="00707B6A">
      <w:pPr>
        <w:spacing w:after="0" w:line="240" w:lineRule="auto"/>
        <w:contextualSpacing/>
        <w:jc w:val="both"/>
        <w:rPr>
          <w:rFonts w:eastAsia="Arial Unicode MS" w:cstheme="minorHAnsi"/>
          <w:i/>
        </w:rPr>
      </w:pPr>
    </w:p>
    <w:tbl>
      <w:tblPr>
        <w:tblStyle w:val="GridTable1Light-Accent1"/>
        <w:tblW w:w="0" w:type="auto"/>
        <w:tblLook w:val="04A0" w:firstRow="1" w:lastRow="0" w:firstColumn="1" w:lastColumn="0" w:noHBand="0" w:noVBand="1"/>
      </w:tblPr>
      <w:tblGrid>
        <w:gridCol w:w="2405"/>
        <w:gridCol w:w="1985"/>
        <w:gridCol w:w="1984"/>
        <w:gridCol w:w="425"/>
        <w:gridCol w:w="2217"/>
      </w:tblGrid>
      <w:tr w:rsidR="00707B6A" w:rsidTr="00217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707B6A" w:rsidRDefault="00707B6A" w:rsidP="00707B6A">
            <w:pPr>
              <w:contextualSpacing/>
              <w:jc w:val="center"/>
              <w:rPr>
                <w:rFonts w:eastAsia="Arial Unicode MS" w:cstheme="minorHAnsi"/>
              </w:rPr>
            </w:pPr>
            <w:r>
              <w:rPr>
                <w:rFonts w:eastAsia="Arial Unicode MS" w:cstheme="minorHAnsi"/>
              </w:rPr>
              <w:t>Company Category</w:t>
            </w:r>
          </w:p>
        </w:tc>
        <w:tc>
          <w:tcPr>
            <w:tcW w:w="1985" w:type="dxa"/>
          </w:tcPr>
          <w:p w:rsidR="00707B6A" w:rsidRDefault="00707B6A" w:rsidP="00707B6A">
            <w:pPr>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Employees</w:t>
            </w:r>
          </w:p>
        </w:tc>
        <w:tc>
          <w:tcPr>
            <w:tcW w:w="1984" w:type="dxa"/>
          </w:tcPr>
          <w:p w:rsidR="00707B6A" w:rsidRDefault="00707B6A" w:rsidP="00707B6A">
            <w:pPr>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Turnover</w:t>
            </w:r>
          </w:p>
        </w:tc>
        <w:tc>
          <w:tcPr>
            <w:tcW w:w="425" w:type="dxa"/>
          </w:tcPr>
          <w:p w:rsidR="00707B6A" w:rsidRDefault="00707B6A" w:rsidP="00707B6A">
            <w:pPr>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or</w:t>
            </w:r>
          </w:p>
        </w:tc>
        <w:tc>
          <w:tcPr>
            <w:tcW w:w="2217" w:type="dxa"/>
          </w:tcPr>
          <w:p w:rsidR="00707B6A" w:rsidRDefault="00707B6A" w:rsidP="00707B6A">
            <w:pPr>
              <w:contextualSpacing/>
              <w:jc w:val="center"/>
              <w:cnfStyle w:val="100000000000" w:firstRow="1"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Balance Sheet</w:t>
            </w:r>
          </w:p>
        </w:tc>
      </w:tr>
      <w:tr w:rsidR="00707B6A" w:rsidTr="00217956">
        <w:tc>
          <w:tcPr>
            <w:cnfStyle w:val="001000000000" w:firstRow="0" w:lastRow="0" w:firstColumn="1" w:lastColumn="0" w:oddVBand="0" w:evenVBand="0" w:oddHBand="0" w:evenHBand="0" w:firstRowFirstColumn="0" w:firstRowLastColumn="0" w:lastRowFirstColumn="0" w:lastRowLastColumn="0"/>
            <w:tcW w:w="2405" w:type="dxa"/>
          </w:tcPr>
          <w:p w:rsidR="00707B6A" w:rsidRDefault="00707B6A" w:rsidP="00707B6A">
            <w:pPr>
              <w:contextualSpacing/>
              <w:jc w:val="both"/>
              <w:rPr>
                <w:rFonts w:eastAsia="Arial Unicode MS" w:cstheme="minorHAnsi"/>
              </w:rPr>
            </w:pPr>
            <w:r>
              <w:rPr>
                <w:rFonts w:eastAsia="Arial Unicode MS" w:cstheme="minorHAnsi"/>
              </w:rPr>
              <w:t>Medium</w:t>
            </w:r>
          </w:p>
        </w:tc>
        <w:tc>
          <w:tcPr>
            <w:tcW w:w="1985"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250</w:t>
            </w:r>
          </w:p>
        </w:tc>
        <w:tc>
          <w:tcPr>
            <w:tcW w:w="1984"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€ 50m</w:t>
            </w:r>
          </w:p>
        </w:tc>
        <w:tc>
          <w:tcPr>
            <w:tcW w:w="425"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p>
        </w:tc>
        <w:tc>
          <w:tcPr>
            <w:tcW w:w="2217"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€ 43m</w:t>
            </w:r>
          </w:p>
        </w:tc>
      </w:tr>
      <w:tr w:rsidR="00707B6A" w:rsidTr="00217956">
        <w:tc>
          <w:tcPr>
            <w:cnfStyle w:val="001000000000" w:firstRow="0" w:lastRow="0" w:firstColumn="1" w:lastColumn="0" w:oddVBand="0" w:evenVBand="0" w:oddHBand="0" w:evenHBand="0" w:firstRowFirstColumn="0" w:firstRowLastColumn="0" w:lastRowFirstColumn="0" w:lastRowLastColumn="0"/>
            <w:tcW w:w="2405" w:type="dxa"/>
          </w:tcPr>
          <w:p w:rsidR="00707B6A" w:rsidRDefault="00707B6A" w:rsidP="00707B6A">
            <w:pPr>
              <w:contextualSpacing/>
              <w:jc w:val="both"/>
              <w:rPr>
                <w:rFonts w:eastAsia="Arial Unicode MS" w:cstheme="minorHAnsi"/>
              </w:rPr>
            </w:pPr>
            <w:r>
              <w:rPr>
                <w:rFonts w:eastAsia="Arial Unicode MS" w:cstheme="minorHAnsi"/>
              </w:rPr>
              <w:t>Small</w:t>
            </w:r>
          </w:p>
        </w:tc>
        <w:tc>
          <w:tcPr>
            <w:tcW w:w="1985"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50</w:t>
            </w:r>
          </w:p>
        </w:tc>
        <w:tc>
          <w:tcPr>
            <w:tcW w:w="1984"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€ 10m</w:t>
            </w:r>
          </w:p>
        </w:tc>
        <w:tc>
          <w:tcPr>
            <w:tcW w:w="425"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p>
        </w:tc>
        <w:tc>
          <w:tcPr>
            <w:tcW w:w="2217"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€ 10m</w:t>
            </w:r>
          </w:p>
        </w:tc>
      </w:tr>
      <w:tr w:rsidR="00707B6A" w:rsidTr="00217956">
        <w:tc>
          <w:tcPr>
            <w:cnfStyle w:val="001000000000" w:firstRow="0" w:lastRow="0" w:firstColumn="1" w:lastColumn="0" w:oddVBand="0" w:evenVBand="0" w:oddHBand="0" w:evenHBand="0" w:firstRowFirstColumn="0" w:firstRowLastColumn="0" w:lastRowFirstColumn="0" w:lastRowLastColumn="0"/>
            <w:tcW w:w="2405" w:type="dxa"/>
          </w:tcPr>
          <w:p w:rsidR="00707B6A" w:rsidRDefault="00707B6A" w:rsidP="00707B6A">
            <w:pPr>
              <w:contextualSpacing/>
              <w:jc w:val="both"/>
              <w:rPr>
                <w:rFonts w:eastAsia="Arial Unicode MS" w:cstheme="minorHAnsi"/>
              </w:rPr>
            </w:pPr>
            <w:r>
              <w:rPr>
                <w:rFonts w:eastAsia="Arial Unicode MS" w:cstheme="minorHAnsi"/>
              </w:rPr>
              <w:t>Micro</w:t>
            </w:r>
          </w:p>
        </w:tc>
        <w:tc>
          <w:tcPr>
            <w:tcW w:w="1985"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10</w:t>
            </w:r>
          </w:p>
        </w:tc>
        <w:tc>
          <w:tcPr>
            <w:tcW w:w="1984"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€ 2m</w:t>
            </w:r>
          </w:p>
        </w:tc>
        <w:tc>
          <w:tcPr>
            <w:tcW w:w="425"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p>
        </w:tc>
        <w:tc>
          <w:tcPr>
            <w:tcW w:w="2217" w:type="dxa"/>
          </w:tcPr>
          <w:p w:rsidR="00707B6A" w:rsidRDefault="00707B6A" w:rsidP="00707B6A">
            <w:pPr>
              <w:contextualSpacing/>
              <w:jc w:val="both"/>
              <w:cnfStyle w:val="000000000000" w:firstRow="0" w:lastRow="0" w:firstColumn="0" w:lastColumn="0" w:oddVBand="0" w:evenVBand="0" w:oddHBand="0" w:evenHBand="0" w:firstRowFirstColumn="0" w:firstRowLastColumn="0" w:lastRowFirstColumn="0" w:lastRowLastColumn="0"/>
              <w:rPr>
                <w:rFonts w:eastAsia="Arial Unicode MS" w:cstheme="minorHAnsi"/>
              </w:rPr>
            </w:pPr>
            <w:r>
              <w:rPr>
                <w:rFonts w:eastAsia="Arial Unicode MS" w:cstheme="minorHAnsi"/>
              </w:rPr>
              <w:t>≤ € 2m</w:t>
            </w:r>
          </w:p>
        </w:tc>
      </w:tr>
    </w:tbl>
    <w:p w:rsidR="00707B6A" w:rsidRDefault="00707B6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14064"/>
      <w:docPartObj>
        <w:docPartGallery w:val="Page Numbers (Bottom of Page)"/>
        <w:docPartUnique/>
      </w:docPartObj>
    </w:sdtPr>
    <w:sdtEndPr/>
    <w:sdtContent>
      <w:sdt>
        <w:sdtPr>
          <w:id w:val="982129726"/>
          <w:docPartObj>
            <w:docPartGallery w:val="Page Numbers (Top of Page)"/>
            <w:docPartUnique/>
          </w:docPartObj>
        </w:sdtPr>
        <w:sdtEndPr/>
        <w:sdtContent>
          <w:p w:rsidR="00C51A97" w:rsidRDefault="00C51A97" w:rsidP="00C51A97">
            <w:pPr>
              <w:pStyle w:val="Footer"/>
              <w:ind w:left="4127" w:firstLine="3793"/>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138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82A">
              <w:rPr>
                <w:b/>
                <w:bCs/>
                <w:noProof/>
              </w:rPr>
              <w:t>3</w:t>
            </w:r>
            <w:r>
              <w:rPr>
                <w:b/>
                <w:bCs/>
                <w:sz w:val="24"/>
                <w:szCs w:val="24"/>
              </w:rPr>
              <w:fldChar w:fldCharType="end"/>
            </w:r>
          </w:p>
          <w:p w:rsidR="00C51A97" w:rsidRDefault="00C51A97" w:rsidP="00C51A97">
            <w:pPr>
              <w:pStyle w:val="Footer"/>
            </w:pPr>
            <w:proofErr w:type="gramStart"/>
            <w:r w:rsidRPr="00C51A97">
              <w:rPr>
                <w:bCs/>
                <w:sz w:val="18"/>
                <w:szCs w:val="18"/>
              </w:rPr>
              <w:t>v.</w:t>
            </w:r>
            <w:r w:rsidR="00707B6A">
              <w:rPr>
                <w:bCs/>
                <w:sz w:val="18"/>
                <w:szCs w:val="18"/>
              </w:rPr>
              <w:t>1</w:t>
            </w:r>
            <w:proofErr w:type="gramEnd"/>
            <w:r w:rsidRPr="00C51A97">
              <w:rPr>
                <w:bCs/>
                <w:sz w:val="18"/>
                <w:szCs w:val="18"/>
              </w:rPr>
              <w:t xml:space="preserve"> </w:t>
            </w:r>
            <w:r w:rsidR="003E7C5F">
              <w:rPr>
                <w:bCs/>
                <w:sz w:val="18"/>
                <w:szCs w:val="18"/>
              </w:rPr>
              <w:t xml:space="preserve">HDW </w:t>
            </w:r>
            <w:r w:rsidR="00707B6A">
              <w:rPr>
                <w:bCs/>
                <w:sz w:val="18"/>
                <w:szCs w:val="18"/>
              </w:rPr>
              <w:t xml:space="preserve">Dec </w:t>
            </w:r>
            <w:r w:rsidR="003E7C5F">
              <w:rPr>
                <w:bCs/>
                <w:sz w:val="18"/>
                <w:szCs w:val="18"/>
              </w:rPr>
              <w:t>2014</w:t>
            </w:r>
          </w:p>
        </w:sdtContent>
      </w:sdt>
    </w:sdtContent>
  </w:sdt>
  <w:p w:rsidR="00B90C97" w:rsidRDefault="00B90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F6" w:rsidRDefault="00C51A97" w:rsidP="00C51A97">
    <w:pPr>
      <w:pStyle w:val="Footer"/>
      <w:rPr>
        <w:rFonts w:ascii="Arial" w:hAnsi="Arial" w:cs="Arial"/>
        <w:sz w:val="12"/>
      </w:rPr>
    </w:pPr>
    <w:r>
      <w:rPr>
        <w:rFonts w:ascii="Arial" w:hAnsi="Arial" w:cs="Arial"/>
        <w:noProof/>
        <w:sz w:val="12"/>
        <w:lang w:eastAsia="en-GB"/>
      </w:rPr>
      <w:drawing>
        <wp:anchor distT="0" distB="0" distL="114300" distR="114300" simplePos="0" relativeHeight="251663360" behindDoc="0" locked="0" layoutInCell="1" allowOverlap="1" wp14:anchorId="14E53ABF" wp14:editId="390B71D3">
          <wp:simplePos x="0" y="0"/>
          <wp:positionH relativeFrom="rightMargin">
            <wp:posOffset>231140</wp:posOffset>
          </wp:positionH>
          <wp:positionV relativeFrom="page">
            <wp:posOffset>8594090</wp:posOffset>
          </wp:positionV>
          <wp:extent cx="360000" cy="1342800"/>
          <wp:effectExtent l="0" t="0" r="2540" b="0"/>
          <wp:wrapThrough wrapText="bothSides">
            <wp:wrapPolygon edited="0">
              <wp:start x="0" y="0"/>
              <wp:lineTo x="0" y="21150"/>
              <wp:lineTo x="20608" y="21150"/>
              <wp:lineTo x="20608"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E_TOTEM_CMYK.jpg"/>
                  <pic:cNvPicPr/>
                </pic:nvPicPr>
                <pic:blipFill>
                  <a:blip r:embed="rId1">
                    <a:extLst>
                      <a:ext uri="{28A0092B-C50C-407E-A947-70E740481C1C}">
                        <a14:useLocalDpi xmlns:a14="http://schemas.microsoft.com/office/drawing/2010/main" val="0"/>
                      </a:ext>
                    </a:extLst>
                  </a:blip>
                  <a:stretch>
                    <a:fillRect/>
                  </a:stretch>
                </pic:blipFill>
                <pic:spPr>
                  <a:xfrm>
                    <a:off x="0" y="0"/>
                    <a:ext cx="360000" cy="1342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3A997522" wp14:editId="2C2F7FB5">
          <wp:simplePos x="0" y="0"/>
          <wp:positionH relativeFrom="margin">
            <wp:posOffset>4495800</wp:posOffset>
          </wp:positionH>
          <wp:positionV relativeFrom="page">
            <wp:posOffset>9972675</wp:posOffset>
          </wp:positionV>
          <wp:extent cx="1432800" cy="316800"/>
          <wp:effectExtent l="0" t="0" r="0" b="7620"/>
          <wp:wrapNone/>
          <wp:docPr id="60" name="Picture 2" descr="IIP_GO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GOLD_LOGO_RGB.jpg"/>
                  <pic:cNvPicPr>
                    <a:picLocks noChangeAspect="1" noChangeArrowheads="1"/>
                  </pic:cNvPicPr>
                </pic:nvPicPr>
                <pic:blipFill>
                  <a:blip r:embed="rId2"/>
                  <a:srcRect/>
                  <a:stretch>
                    <a:fillRect/>
                  </a:stretch>
                </pic:blipFill>
                <pic:spPr bwMode="auto">
                  <a:xfrm>
                    <a:off x="0" y="0"/>
                    <a:ext cx="1432800" cy="316800"/>
                  </a:xfrm>
                  <a:prstGeom prst="rect">
                    <a:avLst/>
                  </a:prstGeom>
                  <a:noFill/>
                </pic:spPr>
              </pic:pic>
            </a:graphicData>
          </a:graphic>
          <wp14:sizeRelH relativeFrom="margin">
            <wp14:pctWidth>0</wp14:pctWidth>
          </wp14:sizeRelH>
          <wp14:sizeRelV relativeFrom="margin">
            <wp14:pctHeight>0</wp14:pctHeight>
          </wp14:sizeRelV>
        </wp:anchor>
      </w:drawing>
    </w:r>
  </w:p>
  <w:p w:rsidR="00EC5EF6" w:rsidRDefault="00EC5EF6" w:rsidP="00EC5EF6">
    <w:pPr>
      <w:pStyle w:val="Footer"/>
      <w:ind w:left="-426"/>
      <w:jc w:val="center"/>
      <w:rPr>
        <w:rFonts w:ascii="Arial" w:hAnsi="Arial" w:cs="Arial"/>
        <w:sz w:val="12"/>
      </w:rPr>
    </w:pPr>
  </w:p>
  <w:p w:rsidR="00EC5EF6" w:rsidRDefault="00EC5EF6" w:rsidP="00EC5EF6">
    <w:pPr>
      <w:pStyle w:val="Footer"/>
      <w:ind w:left="-426"/>
      <w:jc w:val="center"/>
      <w:rPr>
        <w:rFonts w:ascii="Arial" w:hAnsi="Arial" w:cs="Arial"/>
        <w:sz w:val="12"/>
      </w:rPr>
    </w:pPr>
  </w:p>
  <w:p w:rsidR="00EC5EF6" w:rsidRDefault="00EC5EF6">
    <w:pPr>
      <w:pStyle w:val="Footer"/>
    </w:pPr>
  </w:p>
  <w:p w:rsidR="00EC5EF6" w:rsidRDefault="00EC5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84" w:rsidRDefault="00267A84" w:rsidP="001A1B26">
      <w:pPr>
        <w:spacing w:after="0" w:line="240" w:lineRule="auto"/>
      </w:pPr>
      <w:r>
        <w:separator/>
      </w:r>
    </w:p>
  </w:footnote>
  <w:footnote w:type="continuationSeparator" w:id="0">
    <w:p w:rsidR="00267A84" w:rsidRDefault="00267A84" w:rsidP="001A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2A" w:rsidRDefault="00E3732A">
    <w:pPr>
      <w:pStyle w:val="Header"/>
    </w:pPr>
    <w:r>
      <w:rPr>
        <w:noProof/>
        <w:lang w:eastAsia="en-GB"/>
      </w:rPr>
      <w:drawing>
        <wp:anchor distT="0" distB="0" distL="114300" distR="114300" simplePos="0" relativeHeight="251661312" behindDoc="0" locked="0" layoutInCell="1" allowOverlap="1" wp14:anchorId="491B87E5" wp14:editId="40393CD9">
          <wp:simplePos x="0" y="0"/>
          <wp:positionH relativeFrom="page">
            <wp:posOffset>352425</wp:posOffset>
          </wp:positionH>
          <wp:positionV relativeFrom="page">
            <wp:posOffset>312420</wp:posOffset>
          </wp:positionV>
          <wp:extent cx="3740400" cy="1260000"/>
          <wp:effectExtent l="0" t="0" r="0" b="0"/>
          <wp:wrapThrough wrapText="bothSides">
            <wp:wrapPolygon edited="0">
              <wp:start x="2860" y="980"/>
              <wp:lineTo x="2200" y="1960"/>
              <wp:lineTo x="550" y="5552"/>
              <wp:lineTo x="330" y="12085"/>
              <wp:lineTo x="1210" y="17310"/>
              <wp:lineTo x="1320" y="17637"/>
              <wp:lineTo x="2750" y="19597"/>
              <wp:lineTo x="2970" y="20250"/>
              <wp:lineTo x="4181" y="20250"/>
              <wp:lineTo x="4401" y="19597"/>
              <wp:lineTo x="5831" y="17637"/>
              <wp:lineTo x="5831" y="17310"/>
              <wp:lineTo x="19803" y="14698"/>
              <wp:lineTo x="20133" y="12085"/>
              <wp:lineTo x="18153" y="12085"/>
              <wp:lineTo x="21453" y="10125"/>
              <wp:lineTo x="21453" y="6859"/>
              <wp:lineTo x="10012" y="6532"/>
              <wp:lineTo x="4731" y="1960"/>
              <wp:lineTo x="4181" y="980"/>
              <wp:lineTo x="2860" y="98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pc logo text 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93F"/>
    <w:multiLevelType w:val="hybridMultilevel"/>
    <w:tmpl w:val="33EE7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8A5E46"/>
    <w:multiLevelType w:val="hybridMultilevel"/>
    <w:tmpl w:val="8CD0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4B4C2E"/>
    <w:multiLevelType w:val="hybridMultilevel"/>
    <w:tmpl w:val="A56A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C5C67"/>
    <w:multiLevelType w:val="hybridMultilevel"/>
    <w:tmpl w:val="52E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A11E9"/>
    <w:multiLevelType w:val="hybridMultilevel"/>
    <w:tmpl w:val="B83ED9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645600"/>
    <w:multiLevelType w:val="hybridMultilevel"/>
    <w:tmpl w:val="06984F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0B45ED"/>
    <w:multiLevelType w:val="hybridMultilevel"/>
    <w:tmpl w:val="3D74E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6"/>
    <w:rsid w:val="00004108"/>
    <w:rsid w:val="000078C3"/>
    <w:rsid w:val="0002306E"/>
    <w:rsid w:val="00026374"/>
    <w:rsid w:val="00060B24"/>
    <w:rsid w:val="000762C4"/>
    <w:rsid w:val="00082869"/>
    <w:rsid w:val="000C24AD"/>
    <w:rsid w:val="000D5C1C"/>
    <w:rsid w:val="000E04E4"/>
    <w:rsid w:val="000E678A"/>
    <w:rsid w:val="00121B3A"/>
    <w:rsid w:val="001446B7"/>
    <w:rsid w:val="001470A9"/>
    <w:rsid w:val="00155594"/>
    <w:rsid w:val="001900EA"/>
    <w:rsid w:val="00197680"/>
    <w:rsid w:val="001A1B26"/>
    <w:rsid w:val="001C0560"/>
    <w:rsid w:val="001C7A47"/>
    <w:rsid w:val="001D7436"/>
    <w:rsid w:val="0021382A"/>
    <w:rsid w:val="00217575"/>
    <w:rsid w:val="00235E60"/>
    <w:rsid w:val="00246C07"/>
    <w:rsid w:val="00267A84"/>
    <w:rsid w:val="002A1823"/>
    <w:rsid w:val="002C177E"/>
    <w:rsid w:val="002E54DC"/>
    <w:rsid w:val="0034772D"/>
    <w:rsid w:val="003508BE"/>
    <w:rsid w:val="00350952"/>
    <w:rsid w:val="00375E3C"/>
    <w:rsid w:val="00376696"/>
    <w:rsid w:val="00392A41"/>
    <w:rsid w:val="003E7C5F"/>
    <w:rsid w:val="00443C9A"/>
    <w:rsid w:val="0045008D"/>
    <w:rsid w:val="004537BB"/>
    <w:rsid w:val="004C3FD3"/>
    <w:rsid w:val="004E23CD"/>
    <w:rsid w:val="004E7439"/>
    <w:rsid w:val="0050759B"/>
    <w:rsid w:val="00511614"/>
    <w:rsid w:val="005157F4"/>
    <w:rsid w:val="005300AF"/>
    <w:rsid w:val="00555146"/>
    <w:rsid w:val="0055661B"/>
    <w:rsid w:val="005737E6"/>
    <w:rsid w:val="005A2474"/>
    <w:rsid w:val="005B6E86"/>
    <w:rsid w:val="005F1A4F"/>
    <w:rsid w:val="00617995"/>
    <w:rsid w:val="00633958"/>
    <w:rsid w:val="006C07AD"/>
    <w:rsid w:val="006D501C"/>
    <w:rsid w:val="006F37DB"/>
    <w:rsid w:val="00700237"/>
    <w:rsid w:val="00707B6A"/>
    <w:rsid w:val="00717233"/>
    <w:rsid w:val="0078278C"/>
    <w:rsid w:val="007A4766"/>
    <w:rsid w:val="007B3752"/>
    <w:rsid w:val="007B7A0C"/>
    <w:rsid w:val="007C2F2D"/>
    <w:rsid w:val="007E15BB"/>
    <w:rsid w:val="00801BFC"/>
    <w:rsid w:val="0084012F"/>
    <w:rsid w:val="008442FE"/>
    <w:rsid w:val="00882F72"/>
    <w:rsid w:val="00902427"/>
    <w:rsid w:val="009137D6"/>
    <w:rsid w:val="0091594A"/>
    <w:rsid w:val="0095090E"/>
    <w:rsid w:val="00954816"/>
    <w:rsid w:val="00964B33"/>
    <w:rsid w:val="00966B80"/>
    <w:rsid w:val="009B204F"/>
    <w:rsid w:val="009D3EAC"/>
    <w:rsid w:val="00A15C18"/>
    <w:rsid w:val="00A652D3"/>
    <w:rsid w:val="00A660B7"/>
    <w:rsid w:val="00A95588"/>
    <w:rsid w:val="00AA6AA2"/>
    <w:rsid w:val="00B21B45"/>
    <w:rsid w:val="00B27DE7"/>
    <w:rsid w:val="00B27E91"/>
    <w:rsid w:val="00B46DDD"/>
    <w:rsid w:val="00B60AF3"/>
    <w:rsid w:val="00B90C97"/>
    <w:rsid w:val="00BB4410"/>
    <w:rsid w:val="00BC47B5"/>
    <w:rsid w:val="00C02B60"/>
    <w:rsid w:val="00C25F40"/>
    <w:rsid w:val="00C3078D"/>
    <w:rsid w:val="00C40E6B"/>
    <w:rsid w:val="00C51A97"/>
    <w:rsid w:val="00C732D2"/>
    <w:rsid w:val="00C76AEE"/>
    <w:rsid w:val="00C85340"/>
    <w:rsid w:val="00CE2979"/>
    <w:rsid w:val="00D02280"/>
    <w:rsid w:val="00D0268C"/>
    <w:rsid w:val="00D3228C"/>
    <w:rsid w:val="00D428E6"/>
    <w:rsid w:val="00D5638F"/>
    <w:rsid w:val="00D87F9E"/>
    <w:rsid w:val="00DA5968"/>
    <w:rsid w:val="00DF3DFF"/>
    <w:rsid w:val="00E3732A"/>
    <w:rsid w:val="00E5584E"/>
    <w:rsid w:val="00E837B8"/>
    <w:rsid w:val="00EB02B7"/>
    <w:rsid w:val="00EB15B3"/>
    <w:rsid w:val="00EC5EF6"/>
    <w:rsid w:val="00EF0AAA"/>
    <w:rsid w:val="00EF48EB"/>
    <w:rsid w:val="00F026EF"/>
    <w:rsid w:val="00F405A3"/>
    <w:rsid w:val="00F45A3E"/>
    <w:rsid w:val="00F53660"/>
    <w:rsid w:val="00F62D86"/>
    <w:rsid w:val="00FA5580"/>
    <w:rsid w:val="00FA5630"/>
    <w:rsid w:val="00F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3B198D1-47B2-4044-8988-CF70333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05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1A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B26"/>
  </w:style>
  <w:style w:type="paragraph" w:styleId="Footer">
    <w:name w:val="footer"/>
    <w:basedOn w:val="Normal"/>
    <w:link w:val="FooterChar"/>
    <w:uiPriority w:val="99"/>
    <w:unhideWhenUsed/>
    <w:rsid w:val="001A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26"/>
  </w:style>
  <w:style w:type="character" w:customStyle="1" w:styleId="Heading1Char">
    <w:name w:val="Heading 1 Char"/>
    <w:basedOn w:val="DefaultParagraphFont"/>
    <w:link w:val="Heading1"/>
    <w:uiPriority w:val="9"/>
    <w:rsid w:val="00F026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05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1A4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5F1A4F"/>
    <w:pPr>
      <w:spacing w:after="100"/>
    </w:pPr>
  </w:style>
  <w:style w:type="paragraph" w:styleId="TOC2">
    <w:name w:val="toc 2"/>
    <w:basedOn w:val="Normal"/>
    <w:next w:val="Normal"/>
    <w:autoRedefine/>
    <w:uiPriority w:val="39"/>
    <w:unhideWhenUsed/>
    <w:rsid w:val="005F1A4F"/>
    <w:pPr>
      <w:spacing w:after="100"/>
      <w:ind w:left="220"/>
    </w:pPr>
  </w:style>
  <w:style w:type="character" w:styleId="Hyperlink">
    <w:name w:val="Hyperlink"/>
    <w:basedOn w:val="DefaultParagraphFont"/>
    <w:uiPriority w:val="99"/>
    <w:unhideWhenUsed/>
    <w:rsid w:val="005F1A4F"/>
    <w:rPr>
      <w:color w:val="0000FF" w:themeColor="hyperlink"/>
      <w:u w:val="single"/>
    </w:rPr>
  </w:style>
  <w:style w:type="table" w:styleId="TableGrid">
    <w:name w:val="Table Grid"/>
    <w:basedOn w:val="TableNormal"/>
    <w:uiPriority w:val="39"/>
    <w:rsid w:val="005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30"/>
    <w:rPr>
      <w:rFonts w:ascii="Segoe UI" w:hAnsi="Segoe UI" w:cs="Segoe UI"/>
      <w:sz w:val="18"/>
      <w:szCs w:val="18"/>
    </w:rPr>
  </w:style>
  <w:style w:type="paragraph" w:styleId="NoSpacing">
    <w:name w:val="No Spacing"/>
    <w:link w:val="NoSpacingChar"/>
    <w:uiPriority w:val="1"/>
    <w:qFormat/>
    <w:rsid w:val="00EC5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5EF6"/>
    <w:rPr>
      <w:rFonts w:eastAsiaTheme="minorEastAsia"/>
      <w:lang w:val="en-US"/>
    </w:rPr>
  </w:style>
  <w:style w:type="paragraph" w:styleId="ListParagraph">
    <w:name w:val="List Paragraph"/>
    <w:basedOn w:val="Normal"/>
    <w:uiPriority w:val="34"/>
    <w:qFormat/>
    <w:rsid w:val="00633958"/>
    <w:pPr>
      <w:spacing w:after="0" w:line="240" w:lineRule="auto"/>
      <w:ind w:left="720"/>
    </w:pPr>
    <w:rPr>
      <w:rFonts w:ascii="Times New Roman" w:eastAsia="Times New Roman" w:hAnsi="Times New Roman" w:cs="Times New Roman"/>
      <w:sz w:val="24"/>
      <w:szCs w:val="24"/>
      <w:lang w:eastAsia="en-GB"/>
    </w:rPr>
  </w:style>
  <w:style w:type="table" w:styleId="GridTable1Light-Accent3">
    <w:name w:val="Grid Table 1 Light Accent 3"/>
    <w:basedOn w:val="TableNormal"/>
    <w:uiPriority w:val="46"/>
    <w:rsid w:val="0071723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04E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707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B6A"/>
    <w:rPr>
      <w:sz w:val="20"/>
      <w:szCs w:val="20"/>
    </w:rPr>
  </w:style>
  <w:style w:type="character" w:styleId="EndnoteReference">
    <w:name w:val="endnote reference"/>
    <w:basedOn w:val="DefaultParagraphFont"/>
    <w:uiPriority w:val="99"/>
    <w:semiHidden/>
    <w:unhideWhenUsed/>
    <w:rsid w:val="00707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75D6-12B2-4D3C-ADC8-C4B8F294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Wojciechowski</dc:creator>
  <cp:keywords/>
  <dc:description/>
  <cp:lastModifiedBy>Helen Dodd-Williams</cp:lastModifiedBy>
  <cp:revision>6</cp:revision>
  <cp:lastPrinted>2014-09-03T09:51:00Z</cp:lastPrinted>
  <dcterms:created xsi:type="dcterms:W3CDTF">2014-12-01T15:18:00Z</dcterms:created>
  <dcterms:modified xsi:type="dcterms:W3CDTF">2014-12-02T13:24:00Z</dcterms:modified>
</cp:coreProperties>
</file>