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C4" w:rsidRDefault="00000072">
      <w:pPr>
        <w:jc w:val="center"/>
        <w:rPr>
          <w:rFonts w:ascii="Arial" w:hAnsi="Arial"/>
          <w:b/>
        </w:rPr>
      </w:pPr>
      <w:r>
        <w:rPr>
          <w:rFonts w:ascii="Arial" w:hAnsi="Arial"/>
          <w:b/>
        </w:rPr>
        <w:t xml:space="preserve">PROCUREMENT ENGLAND </w:t>
      </w:r>
      <w:proofErr w:type="gramStart"/>
      <w:r>
        <w:rPr>
          <w:rFonts w:ascii="Arial" w:hAnsi="Arial"/>
          <w:b/>
        </w:rPr>
        <w:t xml:space="preserve">LIMITED </w:t>
      </w:r>
      <w:r w:rsidR="002449C4">
        <w:rPr>
          <w:rFonts w:ascii="Arial" w:hAnsi="Arial"/>
          <w:b/>
        </w:rPr>
        <w:t xml:space="preserve"> SUSTAINABLE</w:t>
      </w:r>
      <w:proofErr w:type="gramEnd"/>
      <w:r w:rsidR="002449C4">
        <w:rPr>
          <w:rFonts w:ascii="Arial" w:hAnsi="Arial"/>
          <w:b/>
        </w:rPr>
        <w:t xml:space="preserve"> PROCUREMENT POLICY </w:t>
      </w:r>
    </w:p>
    <w:p w:rsidR="002449C4" w:rsidRDefault="002449C4">
      <w:pPr>
        <w:rPr>
          <w:rFonts w:ascii="Arial" w:hAnsi="Arial"/>
          <w:b/>
        </w:rPr>
      </w:pPr>
      <w:r>
        <w:rPr>
          <w:rFonts w:ascii="Arial" w:hAnsi="Arial"/>
          <w:b/>
        </w:rPr>
        <w:t>Background</w:t>
      </w:r>
    </w:p>
    <w:p w:rsidR="002449C4" w:rsidRDefault="00000072">
      <w:pPr>
        <w:ind w:right="-26"/>
        <w:jc w:val="both"/>
        <w:rPr>
          <w:rFonts w:ascii="Arial" w:hAnsi="Arial"/>
          <w:bCs w:val="0"/>
          <w:szCs w:val="24"/>
        </w:rPr>
      </w:pPr>
      <w:r>
        <w:rPr>
          <w:rFonts w:ascii="Arial" w:hAnsi="Arial"/>
          <w:bCs w:val="0"/>
          <w:szCs w:val="24"/>
        </w:rPr>
        <w:t>Procurement England Limited (PEL)</w:t>
      </w:r>
      <w:r w:rsidR="002449C4">
        <w:rPr>
          <w:rFonts w:ascii="Arial" w:hAnsi="Arial"/>
          <w:bCs w:val="0"/>
          <w:szCs w:val="24"/>
        </w:rPr>
        <w:t xml:space="preserve">, comprising LUPC, NEUPC, NWUPC and SUPC, provides a collaborative procurement and contract management service for the higher and further education institutions in England.  It has a significant influencing role within the education sector and is committed to encouraging and promoting sustainability in all their activities. Sustainability is also high on the agenda of the Government and the education funding councils. </w:t>
      </w:r>
    </w:p>
    <w:p w:rsidR="002449C4" w:rsidRDefault="002449C4">
      <w:pPr>
        <w:ind w:right="-26"/>
        <w:jc w:val="both"/>
        <w:rPr>
          <w:rFonts w:ascii="Arial" w:eastAsia="Mangal" w:hAnsi="Arial" w:cs="Mangal"/>
          <w:bCs w:val="0"/>
          <w:color w:val="000000"/>
          <w:szCs w:val="20"/>
        </w:rPr>
      </w:pPr>
      <w:r>
        <w:rPr>
          <w:rFonts w:eastAsia="Verdana" w:cs="Verdana"/>
          <w:bCs w:val="0"/>
          <w:color w:val="000000"/>
          <w:szCs w:val="20"/>
        </w:rPr>
        <w:t>P</w:t>
      </w:r>
      <w:r>
        <w:rPr>
          <w:rFonts w:ascii="Arial" w:eastAsia="Verdana" w:hAnsi="Arial" w:cs="Verdana"/>
          <w:bCs w:val="0"/>
          <w:color w:val="000000"/>
          <w:szCs w:val="20"/>
        </w:rPr>
        <w:t xml:space="preserve">rocurement of goods, services and works has a </w:t>
      </w:r>
      <w:r>
        <w:rPr>
          <w:rFonts w:ascii="Arial" w:eastAsia="Mangal" w:hAnsi="Arial" w:cs="Mangal"/>
          <w:bCs w:val="0"/>
          <w:color w:val="000000"/>
          <w:szCs w:val="20"/>
        </w:rPr>
        <w:t xml:space="preserve">significant impact on the environment, society and the economy.  </w:t>
      </w:r>
      <w:r w:rsidR="00000072">
        <w:rPr>
          <w:rFonts w:ascii="Arial" w:eastAsia="Mangal" w:hAnsi="Arial" w:cs="Mangal"/>
          <w:bCs w:val="0"/>
          <w:color w:val="000000"/>
          <w:szCs w:val="20"/>
        </w:rPr>
        <w:t>PEL</w:t>
      </w:r>
      <w:r>
        <w:rPr>
          <w:rFonts w:ascii="Arial" w:eastAsia="Mangal" w:hAnsi="Arial" w:cs="Mangal"/>
          <w:bCs w:val="0"/>
          <w:color w:val="000000"/>
          <w:szCs w:val="20"/>
        </w:rPr>
        <w:t xml:space="preserve"> recognises that its procurement activities will also affect how our member institutions can manage their sustainable impacts as well as supporting members' sustainable development policies. </w:t>
      </w:r>
    </w:p>
    <w:p w:rsidR="002449C4" w:rsidRDefault="002449C4">
      <w:pPr>
        <w:pStyle w:val="TableContents"/>
        <w:ind w:right="-26"/>
        <w:jc w:val="both"/>
        <w:rPr>
          <w:rFonts w:ascii="Arial" w:hAnsi="Arial"/>
          <w:b/>
          <w:szCs w:val="24"/>
        </w:rPr>
      </w:pPr>
      <w:r>
        <w:rPr>
          <w:rFonts w:ascii="Arial" w:hAnsi="Arial"/>
          <w:b/>
          <w:szCs w:val="24"/>
        </w:rPr>
        <w:t>Aims</w:t>
      </w:r>
    </w:p>
    <w:p w:rsidR="002449C4" w:rsidRDefault="00000072">
      <w:pPr>
        <w:pStyle w:val="TableContents"/>
        <w:ind w:right="-26"/>
        <w:jc w:val="both"/>
        <w:rPr>
          <w:rFonts w:ascii="Arial" w:eastAsia="Mangal" w:hAnsi="Arial" w:cs="Mangal"/>
          <w:bCs w:val="0"/>
          <w:color w:val="000000"/>
          <w:szCs w:val="20"/>
        </w:rPr>
      </w:pPr>
      <w:proofErr w:type="gramStart"/>
      <w:r>
        <w:rPr>
          <w:rFonts w:ascii="Arial" w:hAnsi="Arial"/>
          <w:bCs w:val="0"/>
          <w:szCs w:val="24"/>
        </w:rPr>
        <w:t xml:space="preserve">PEL </w:t>
      </w:r>
      <w:r w:rsidR="002449C4">
        <w:rPr>
          <w:rFonts w:ascii="Arial" w:hAnsi="Arial"/>
          <w:bCs w:val="0"/>
          <w:szCs w:val="24"/>
        </w:rPr>
        <w:t xml:space="preserve"> aims</w:t>
      </w:r>
      <w:proofErr w:type="gramEnd"/>
      <w:r w:rsidR="002449C4">
        <w:rPr>
          <w:rFonts w:ascii="Arial" w:hAnsi="Arial"/>
          <w:bCs w:val="0"/>
          <w:szCs w:val="24"/>
        </w:rPr>
        <w:t xml:space="preserve"> to </w:t>
      </w:r>
      <w:r w:rsidR="002449C4">
        <w:rPr>
          <w:rFonts w:ascii="Arial" w:eastAsia="Verdana" w:hAnsi="Arial" w:cs="Verdana"/>
          <w:bCs w:val="0"/>
          <w:color w:val="000000"/>
          <w:szCs w:val="20"/>
        </w:rPr>
        <w:t xml:space="preserve">support member institutions to achieve value for money </w:t>
      </w:r>
      <w:r w:rsidR="002449C4">
        <w:rPr>
          <w:rFonts w:ascii="Arial" w:eastAsia="Mangal" w:hAnsi="Arial" w:cs="Mangal"/>
          <w:bCs w:val="0"/>
          <w:color w:val="000000"/>
          <w:szCs w:val="20"/>
        </w:rPr>
        <w:t>on a whole life cost basis by generating benefits to society and the economy whilst minimising impacts on the environment.  We aim to do this by:</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Increasing awareness of sustainable procurement principles </w:t>
      </w:r>
      <w:r>
        <w:rPr>
          <w:rFonts w:ascii="Arial" w:eastAsia="Mangal" w:hAnsi="Arial" w:cs="Mangal"/>
          <w:bCs w:val="0"/>
          <w:color w:val="000000"/>
          <w:szCs w:val="20"/>
        </w:rPr>
        <w:t xml:space="preserve">within the </w:t>
      </w:r>
      <w:r w:rsidR="00000072">
        <w:rPr>
          <w:rFonts w:ascii="Arial" w:eastAsia="Mangal" w:hAnsi="Arial" w:cs="Mangal"/>
          <w:bCs w:val="0"/>
          <w:color w:val="000000"/>
          <w:szCs w:val="20"/>
        </w:rPr>
        <w:t xml:space="preserve">PEL </w:t>
      </w:r>
      <w:r>
        <w:rPr>
          <w:rFonts w:ascii="Arial" w:eastAsia="Mangal" w:hAnsi="Arial" w:cs="Mangal"/>
          <w:bCs w:val="0"/>
          <w:color w:val="000000"/>
          <w:szCs w:val="20"/>
        </w:rPr>
        <w:t xml:space="preserve"> teams</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Embedding good practice in sustainable procurement in day to </w:t>
      </w:r>
      <w:r>
        <w:rPr>
          <w:rFonts w:ascii="Arial" w:eastAsia="Mangal" w:hAnsi="Arial" w:cs="Mangal"/>
          <w:bCs w:val="0"/>
          <w:color w:val="000000"/>
          <w:szCs w:val="20"/>
        </w:rPr>
        <w:t xml:space="preserve">day working and as part of the </w:t>
      </w:r>
      <w:r w:rsidR="00000072">
        <w:rPr>
          <w:rFonts w:ascii="Arial" w:eastAsia="Mangal" w:hAnsi="Arial" w:cs="Mangal"/>
          <w:bCs w:val="0"/>
          <w:color w:val="000000"/>
          <w:szCs w:val="20"/>
        </w:rPr>
        <w:t xml:space="preserve">PEL </w:t>
      </w:r>
      <w:r>
        <w:rPr>
          <w:rFonts w:ascii="Arial" w:eastAsia="Mangal" w:hAnsi="Arial" w:cs="Mangal"/>
          <w:bCs w:val="0"/>
          <w:color w:val="000000"/>
          <w:szCs w:val="20"/>
        </w:rPr>
        <w:t xml:space="preserve"> staff development and appraisal process</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Undertaking sustainability risk/impact assessments of </w:t>
      </w:r>
      <w:r>
        <w:rPr>
          <w:rFonts w:ascii="Arial" w:eastAsia="Mangal" w:hAnsi="Arial" w:cs="Mangal"/>
          <w:bCs w:val="0"/>
          <w:color w:val="000000"/>
          <w:szCs w:val="20"/>
        </w:rPr>
        <w:t>products and services and their supply chain</w:t>
      </w:r>
      <w:r w:rsidR="00000072">
        <w:rPr>
          <w:rFonts w:ascii="Arial" w:eastAsia="Mangal" w:hAnsi="Arial" w:cs="Mangal"/>
          <w:bCs w:val="0"/>
          <w:color w:val="000000"/>
          <w:szCs w:val="20"/>
        </w:rPr>
        <w:t>s</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Ensuring that environmental, social and whole life cost </w:t>
      </w:r>
      <w:r>
        <w:rPr>
          <w:rFonts w:ascii="Arial" w:eastAsia="Mangal" w:hAnsi="Arial" w:cs="Mangal"/>
          <w:bCs w:val="0"/>
          <w:color w:val="000000"/>
          <w:szCs w:val="20"/>
        </w:rPr>
        <w:t>impacts are appropriately considered in the assessment of value for money when setting up framework agreements</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Managing procurement of goods and services to support </w:t>
      </w:r>
      <w:r>
        <w:rPr>
          <w:rFonts w:ascii="Arial" w:eastAsia="Mangal" w:hAnsi="Arial" w:cs="Mangal"/>
          <w:bCs w:val="0"/>
          <w:color w:val="000000"/>
          <w:szCs w:val="20"/>
        </w:rPr>
        <w:t xml:space="preserve">members in achieving supply chain carbon emission reduction targets </w:t>
      </w:r>
    </w:p>
    <w:p w:rsidR="002449C4" w:rsidRDefault="002449C4">
      <w:pPr>
        <w:numPr>
          <w:ilvl w:val="0"/>
          <w:numId w:val="1"/>
        </w:numPr>
        <w:jc w:val="both"/>
        <w:rPr>
          <w:rFonts w:ascii="Arial" w:eastAsia="Verdana" w:hAnsi="Arial" w:cs="Mangal"/>
          <w:bCs w:val="0"/>
          <w:color w:val="000000"/>
          <w:szCs w:val="20"/>
        </w:rPr>
      </w:pPr>
      <w:r>
        <w:rPr>
          <w:rFonts w:ascii="Arial" w:eastAsia="Mangal" w:hAnsi="Arial" w:cs="Verdana"/>
          <w:bCs w:val="0"/>
          <w:color w:val="000000"/>
          <w:szCs w:val="20"/>
        </w:rPr>
        <w:t>Engaging</w:t>
      </w:r>
      <w:r>
        <w:rPr>
          <w:rFonts w:ascii="Arial" w:eastAsia="Verdana" w:hAnsi="Arial" w:cs="Mangal"/>
          <w:bCs w:val="0"/>
          <w:color w:val="000000"/>
          <w:szCs w:val="20"/>
        </w:rPr>
        <w:t xml:space="preserve"> our suppliers to improve supply chain management, by working with key vendors, educating them on sustainable procurement and our policies, as appropriate, persuading them to offer more sustainable products, utilise more sustainable working practices, and encouraging them to propose innovations which improve the sustainability of their tender responses</w:t>
      </w:r>
    </w:p>
    <w:p w:rsidR="002449C4" w:rsidRDefault="002449C4">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Promoting the sustainable purchasing policy, strategy, </w:t>
      </w:r>
      <w:r>
        <w:rPr>
          <w:rFonts w:ascii="Arial" w:eastAsia="Mangal" w:hAnsi="Arial" w:cs="Mangal"/>
          <w:bCs w:val="0"/>
          <w:color w:val="000000"/>
          <w:szCs w:val="20"/>
        </w:rPr>
        <w:t>objectives and activities to members, suppliers and students</w:t>
      </w:r>
    </w:p>
    <w:p w:rsidR="002449C4" w:rsidRDefault="00000072">
      <w:pPr>
        <w:numPr>
          <w:ilvl w:val="0"/>
          <w:numId w:val="1"/>
        </w:numPr>
        <w:jc w:val="both"/>
        <w:rPr>
          <w:rFonts w:ascii="Arial" w:eastAsia="Mangal" w:hAnsi="Arial" w:cs="Mangal"/>
          <w:bCs w:val="0"/>
          <w:color w:val="000000"/>
          <w:szCs w:val="20"/>
        </w:rPr>
      </w:pPr>
      <w:r>
        <w:rPr>
          <w:rFonts w:ascii="Arial" w:eastAsia="Verdana" w:hAnsi="Arial" w:cs="Verdana"/>
          <w:bCs w:val="0"/>
          <w:color w:val="000000"/>
          <w:szCs w:val="20"/>
        </w:rPr>
        <w:t xml:space="preserve">Managing tendering and lotting strategies that ensure fair access to contracting opportunities for businesses of all sizes and types in relation to the scope of the PEL </w:t>
      </w:r>
      <w:r>
        <w:rPr>
          <w:rFonts w:ascii="Arial" w:eastAsia="Mangal" w:hAnsi="Arial" w:cs="Mangal"/>
          <w:bCs w:val="0"/>
          <w:color w:val="000000"/>
          <w:szCs w:val="20"/>
        </w:rPr>
        <w:t>frameworks</w:t>
      </w:r>
    </w:p>
    <w:p w:rsidR="002449C4" w:rsidRDefault="002449C4">
      <w:pPr>
        <w:numPr>
          <w:ilvl w:val="0"/>
          <w:numId w:val="1"/>
        </w:numPr>
        <w:jc w:val="both"/>
        <w:rPr>
          <w:rFonts w:ascii="Arial" w:eastAsia="Mangal" w:hAnsi="Arial" w:cs="Mangal"/>
          <w:bCs w:val="0"/>
          <w:color w:val="000000"/>
          <w:szCs w:val="20"/>
        </w:rPr>
      </w:pPr>
      <w:r>
        <w:rPr>
          <w:rFonts w:ascii="Arial" w:eastAsia="Mangal" w:hAnsi="Arial" w:cs="Mangal"/>
          <w:bCs w:val="0"/>
          <w:color w:val="000000"/>
          <w:szCs w:val="20"/>
        </w:rPr>
        <w:t xml:space="preserve">Collaborating with other organisations, such as APUC and HEPCW and other authorities to improve knowledge and understanding of sustainable procurement and to seek shared opportunities and benefits.  </w:t>
      </w:r>
    </w:p>
    <w:p w:rsidR="002449C4" w:rsidRDefault="002449C4">
      <w:pPr>
        <w:numPr>
          <w:ilvl w:val="0"/>
          <w:numId w:val="1"/>
        </w:numPr>
        <w:jc w:val="both"/>
        <w:rPr>
          <w:rFonts w:ascii="Arial" w:eastAsia="Mangal" w:hAnsi="Arial" w:cs="Mangal"/>
          <w:bCs w:val="0"/>
          <w:color w:val="000000"/>
          <w:szCs w:val="20"/>
        </w:rPr>
      </w:pPr>
      <w:r>
        <w:rPr>
          <w:rFonts w:ascii="Arial" w:eastAsia="Mangal" w:hAnsi="Arial" w:cs="Mangal"/>
          <w:bCs w:val="0"/>
          <w:color w:val="000000"/>
          <w:szCs w:val="20"/>
        </w:rPr>
        <w:t xml:space="preserve">Measuring our progress against clear and transparent performance indicators to chart how </w:t>
      </w:r>
      <w:r w:rsidR="00000072">
        <w:rPr>
          <w:rFonts w:ascii="Arial" w:eastAsia="Mangal" w:hAnsi="Arial" w:cs="Mangal"/>
          <w:bCs w:val="0"/>
          <w:color w:val="000000"/>
          <w:szCs w:val="20"/>
        </w:rPr>
        <w:t>PEL</w:t>
      </w:r>
      <w:r>
        <w:rPr>
          <w:rFonts w:ascii="Arial" w:eastAsia="Mangal" w:hAnsi="Arial" w:cs="Mangal"/>
          <w:bCs w:val="0"/>
          <w:color w:val="000000"/>
          <w:szCs w:val="20"/>
        </w:rPr>
        <w:t xml:space="preserve"> has used our spending power to deliver outcomes that support sustainable development. </w:t>
      </w:r>
    </w:p>
    <w:p w:rsidR="002449C4" w:rsidRDefault="002449C4">
      <w:pPr>
        <w:pStyle w:val="BodyText2"/>
        <w:numPr>
          <w:ilvl w:val="0"/>
          <w:numId w:val="1"/>
        </w:numPr>
        <w:tabs>
          <w:tab w:val="left" w:pos="-1080"/>
          <w:tab w:val="left" w:pos="-720"/>
          <w:tab w:val="left" w:pos="1"/>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napToGrid w:val="0"/>
        <w:spacing w:after="200" w:line="240" w:lineRule="auto"/>
        <w:jc w:val="both"/>
        <w:rPr>
          <w:rFonts w:ascii="Arial" w:eastAsia="Mangal" w:hAnsi="Arial" w:cs="Mangal"/>
          <w:bCs w:val="0"/>
          <w:color w:val="000000"/>
          <w:szCs w:val="20"/>
        </w:rPr>
      </w:pPr>
      <w:r>
        <w:rPr>
          <w:rFonts w:ascii="Arial" w:eastAsia="Mangal" w:hAnsi="Arial" w:cs="Mangal"/>
          <w:bCs w:val="0"/>
          <w:color w:val="000000"/>
          <w:szCs w:val="20"/>
        </w:rPr>
        <w:t>Adopting mechanisms and indicators to monitor and review the performance of vendors and achieve continuous improvement in our supply chain</w:t>
      </w:r>
    </w:p>
    <w:p w:rsidR="002449C4" w:rsidRDefault="002449C4">
      <w:pPr>
        <w:jc w:val="both"/>
        <w:rPr>
          <w:rFonts w:ascii="Arial" w:eastAsia="Mangal" w:hAnsi="Arial" w:cs="Mangal"/>
          <w:b/>
          <w:color w:val="000000"/>
          <w:szCs w:val="20"/>
        </w:rPr>
      </w:pPr>
      <w:r>
        <w:rPr>
          <w:rFonts w:ascii="Arial" w:eastAsia="Mangal" w:hAnsi="Arial" w:cs="Mangal"/>
          <w:b/>
          <w:color w:val="000000"/>
          <w:szCs w:val="20"/>
        </w:rPr>
        <w:lastRenderedPageBreak/>
        <w:t>Governance</w:t>
      </w:r>
    </w:p>
    <w:p w:rsidR="002449C4" w:rsidRDefault="00000072">
      <w:pPr>
        <w:tabs>
          <w:tab w:val="left" w:pos="3402"/>
        </w:tabs>
        <w:ind w:right="-26"/>
        <w:jc w:val="both"/>
        <w:rPr>
          <w:rFonts w:ascii="Arial" w:eastAsia="Mangal" w:hAnsi="Arial" w:cs="Mangal"/>
          <w:bCs w:val="0"/>
          <w:color w:val="000000"/>
          <w:szCs w:val="20"/>
        </w:rPr>
      </w:pPr>
      <w:r>
        <w:rPr>
          <w:rFonts w:ascii="Arial" w:eastAsia="Mangal" w:hAnsi="Arial" w:cs="Mangal"/>
          <w:bCs w:val="0"/>
          <w:color w:val="000000"/>
          <w:szCs w:val="20"/>
        </w:rPr>
        <w:t>PEL</w:t>
      </w:r>
      <w:r w:rsidR="002449C4">
        <w:rPr>
          <w:rFonts w:ascii="Arial" w:eastAsia="Mangal" w:hAnsi="Arial" w:cs="Mangal"/>
          <w:bCs w:val="0"/>
          <w:color w:val="000000"/>
          <w:szCs w:val="20"/>
        </w:rPr>
        <w:t xml:space="preserve"> will communicate and promote this policy to all staff and members.  Communication of this policy and the </w:t>
      </w:r>
      <w:r>
        <w:rPr>
          <w:rFonts w:ascii="Arial" w:eastAsia="Mangal" w:hAnsi="Arial" w:cs="Mangal"/>
          <w:bCs w:val="0"/>
          <w:color w:val="000000"/>
          <w:szCs w:val="20"/>
        </w:rPr>
        <w:t>PEL</w:t>
      </w:r>
      <w:r w:rsidR="002449C4">
        <w:rPr>
          <w:rFonts w:ascii="Arial" w:eastAsia="Mangal" w:hAnsi="Arial" w:cs="Mangal"/>
          <w:bCs w:val="0"/>
          <w:color w:val="000000"/>
          <w:szCs w:val="20"/>
        </w:rPr>
        <w:t xml:space="preserve"> sustainable procurement strategy will be included as part of the induction process for the organisation.  </w:t>
      </w:r>
    </w:p>
    <w:p w:rsidR="002449C4" w:rsidRDefault="00000072">
      <w:pPr>
        <w:tabs>
          <w:tab w:val="left" w:pos="3402"/>
        </w:tabs>
        <w:ind w:right="-26"/>
        <w:jc w:val="both"/>
        <w:rPr>
          <w:rFonts w:ascii="Arial" w:eastAsia="Mangal" w:hAnsi="Arial" w:cs="Mangal"/>
          <w:bCs w:val="0"/>
          <w:color w:val="000000"/>
          <w:szCs w:val="20"/>
        </w:rPr>
      </w:pPr>
      <w:r>
        <w:rPr>
          <w:rFonts w:ascii="Arial" w:eastAsia="Mangal" w:hAnsi="Arial" w:cs="Mangal"/>
          <w:bCs w:val="0"/>
          <w:color w:val="000000"/>
          <w:szCs w:val="20"/>
        </w:rPr>
        <w:t xml:space="preserve">PEL will review this policy and the sustainable procurement strategy biennially.  </w:t>
      </w:r>
      <w:r w:rsidR="002449C4">
        <w:rPr>
          <w:rFonts w:ascii="Arial" w:eastAsia="Mangal" w:hAnsi="Arial" w:cs="Mangal"/>
          <w:bCs w:val="0"/>
          <w:color w:val="000000"/>
          <w:szCs w:val="20"/>
        </w:rPr>
        <w:t xml:space="preserve">Any legislative or good practice changes which may require this policy to be updated will be discussed with staff and members.  Key suppliers' views will also be sought as part of the </w:t>
      </w:r>
      <w:r>
        <w:rPr>
          <w:rFonts w:ascii="Arial" w:eastAsia="Mangal" w:hAnsi="Arial" w:cs="Mangal"/>
          <w:bCs w:val="0"/>
          <w:color w:val="000000"/>
          <w:szCs w:val="20"/>
        </w:rPr>
        <w:t>biennial</w:t>
      </w:r>
      <w:r w:rsidR="002449C4">
        <w:rPr>
          <w:rFonts w:ascii="Arial" w:eastAsia="Mangal" w:hAnsi="Arial" w:cs="Mangal"/>
          <w:bCs w:val="0"/>
          <w:color w:val="000000"/>
          <w:szCs w:val="20"/>
        </w:rPr>
        <w:t xml:space="preserve"> policy review.    </w:t>
      </w:r>
    </w:p>
    <w:p w:rsidR="002449C4" w:rsidRDefault="002449C4">
      <w:pPr>
        <w:tabs>
          <w:tab w:val="left" w:pos="3402"/>
        </w:tabs>
        <w:ind w:right="-26"/>
        <w:jc w:val="both"/>
        <w:rPr>
          <w:rFonts w:ascii="Arial" w:eastAsia="Mangal" w:hAnsi="Arial" w:cs="Mangal"/>
          <w:bCs w:val="0"/>
          <w:color w:val="000000"/>
          <w:szCs w:val="20"/>
        </w:rPr>
      </w:pPr>
      <w:r>
        <w:rPr>
          <w:rFonts w:ascii="Arial" w:eastAsia="Mangal" w:hAnsi="Arial" w:cs="Mangal"/>
          <w:bCs w:val="0"/>
          <w:color w:val="000000"/>
          <w:szCs w:val="20"/>
        </w:rPr>
        <w:t xml:space="preserve">This policy will be signed off and agreed by the </w:t>
      </w:r>
      <w:r w:rsidR="00000072">
        <w:rPr>
          <w:rFonts w:ascii="Arial" w:eastAsia="Mangal" w:hAnsi="Arial" w:cs="Mangal"/>
          <w:bCs w:val="0"/>
          <w:color w:val="000000"/>
          <w:szCs w:val="20"/>
        </w:rPr>
        <w:t xml:space="preserve">PEL </w:t>
      </w:r>
      <w:proofErr w:type="gramStart"/>
      <w:r w:rsidR="00000072">
        <w:rPr>
          <w:rFonts w:ascii="Arial" w:eastAsia="Mangal" w:hAnsi="Arial" w:cs="Mangal"/>
          <w:bCs w:val="0"/>
          <w:color w:val="000000"/>
          <w:szCs w:val="20"/>
        </w:rPr>
        <w:t xml:space="preserve">Board </w:t>
      </w:r>
      <w:r>
        <w:rPr>
          <w:rFonts w:ascii="Arial" w:eastAsia="Mangal" w:hAnsi="Arial" w:cs="Mangal"/>
          <w:bCs w:val="0"/>
          <w:color w:val="000000"/>
          <w:szCs w:val="20"/>
        </w:rPr>
        <w:t xml:space="preserve"> and</w:t>
      </w:r>
      <w:proofErr w:type="gramEnd"/>
      <w:r>
        <w:rPr>
          <w:rFonts w:ascii="Arial" w:eastAsia="Mangal" w:hAnsi="Arial" w:cs="Mangal"/>
          <w:bCs w:val="0"/>
          <w:color w:val="000000"/>
          <w:szCs w:val="20"/>
        </w:rPr>
        <w:t xml:space="preserve"> the latest version will be embedded in day to day activities of </w:t>
      </w:r>
      <w:r w:rsidR="00000072">
        <w:rPr>
          <w:rFonts w:ascii="Arial" w:eastAsia="Mangal" w:hAnsi="Arial" w:cs="Mangal"/>
          <w:bCs w:val="0"/>
          <w:color w:val="000000"/>
          <w:szCs w:val="20"/>
        </w:rPr>
        <w:t>PEL</w:t>
      </w:r>
      <w:r>
        <w:rPr>
          <w:rFonts w:ascii="Arial" w:eastAsia="Mangal" w:hAnsi="Arial" w:cs="Mangal"/>
          <w:bCs w:val="0"/>
          <w:color w:val="000000"/>
          <w:szCs w:val="20"/>
        </w:rPr>
        <w:t xml:space="preserve">. </w:t>
      </w:r>
    </w:p>
    <w:p w:rsidR="002449C4" w:rsidRDefault="002449C4">
      <w:pPr>
        <w:jc w:val="both"/>
        <w:rPr>
          <w:rFonts w:ascii="Arial" w:hAnsi="Arial"/>
          <w:b/>
        </w:rPr>
      </w:pPr>
    </w:p>
    <w:p w:rsidR="002449C4" w:rsidRDefault="002449C4">
      <w:pPr>
        <w:ind w:right="-26"/>
        <w:jc w:val="both"/>
        <w:rPr>
          <w:rFonts w:ascii="Mangal" w:eastAsia="Mangal" w:hAnsi="Mangal" w:cs="Mangal"/>
          <w:bCs w:val="0"/>
          <w:color w:val="000000"/>
          <w:szCs w:val="20"/>
        </w:rPr>
      </w:pPr>
    </w:p>
    <w:p w:rsidR="002449C4" w:rsidRDefault="002449C4">
      <w:pPr>
        <w:pStyle w:val="TableContents"/>
        <w:ind w:right="-26"/>
        <w:jc w:val="both"/>
        <w:rPr>
          <w:rFonts w:ascii="Arial" w:hAnsi="Arial"/>
          <w:bCs w:val="0"/>
          <w:szCs w:val="24"/>
        </w:rPr>
      </w:pPr>
    </w:p>
    <w:p w:rsidR="002449C4" w:rsidRDefault="002449C4">
      <w:pPr>
        <w:pStyle w:val="TableContents"/>
        <w:ind w:right="-26"/>
        <w:jc w:val="both"/>
        <w:rPr>
          <w:rFonts w:ascii="Arial" w:hAnsi="Arial"/>
          <w:bCs w:val="0"/>
          <w:szCs w:val="24"/>
        </w:rPr>
      </w:pPr>
    </w:p>
    <w:sectPr w:rsidR="002449C4">
      <w:pgSz w:w="11906" w:h="16838"/>
      <w:pgMar w:top="1440" w:right="1440" w:bottom="1440" w:left="1440" w:header="720" w:footer="720" w:gutter="0"/>
      <w:cols w:space="720"/>
      <w:docGrid w:linePitch="24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11">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72"/>
    <w:rsid w:val="00000072"/>
    <w:rsid w:val="001A4516"/>
    <w:rsid w:val="002449C4"/>
    <w:rsid w:val="00450137"/>
    <w:rsid w:val="00617DF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eastAsia="Lucida Sans Unicode" w:hAnsi="Verdana" w:cs="font311"/>
      <w:bCs/>
      <w:kern w:val="1"/>
      <w:szCs w:val="22"/>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styleId="DefaultParagraphFont0">
    <w:name w:val="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BodyText2">
    <w:name w:val="Body Text 2"/>
    <w:basedOn w:val="Normal"/>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Alex</dc:creator>
  <cp:lastModifiedBy>mauoshd2</cp:lastModifiedBy>
  <cp:revision>2</cp:revision>
  <cp:lastPrinted>2013-05-08T11:19:00Z</cp:lastPrinted>
  <dcterms:created xsi:type="dcterms:W3CDTF">2014-01-27T14:01:00Z</dcterms:created>
  <dcterms:modified xsi:type="dcterms:W3CDTF">2014-01-27T14:01:00Z</dcterms:modified>
</cp:coreProperties>
</file>