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A" w:rsidRDefault="00E3732A" w:rsidP="0034772D">
      <w:pPr>
        <w:pStyle w:val="Heading1"/>
      </w:pPr>
    </w:p>
    <w:p w:rsidR="00C51A97" w:rsidRDefault="00C51A97" w:rsidP="00E3732A"/>
    <w:p w:rsidR="00C51A97" w:rsidRDefault="00C51A97" w:rsidP="00E3732A"/>
    <w:p w:rsidR="00C51A97" w:rsidRDefault="00C51A97" w:rsidP="00E3732A"/>
    <w:p w:rsidR="00C51A97" w:rsidRDefault="00C51A97" w:rsidP="00E3732A"/>
    <w:p w:rsidR="00C51A97" w:rsidRDefault="00C51A97" w:rsidP="00E3732A"/>
    <w:p w:rsidR="0002306E" w:rsidRDefault="00404FB4" w:rsidP="00C51A97">
      <w:pPr>
        <w:pStyle w:val="Heading1"/>
      </w:pPr>
      <w:r>
        <w:t>Ethical Code of Conduct</w:t>
      </w:r>
    </w:p>
    <w:p w:rsidR="0002306E" w:rsidRDefault="0002306E" w:rsidP="0002306E">
      <w:pPr>
        <w:rPr>
          <w:rFonts w:asciiTheme="majorHAnsi" w:eastAsiaTheme="majorEastAsia" w:hAnsiTheme="majorHAnsi" w:cstheme="majorBidi"/>
          <w:color w:val="365F91" w:themeColor="accent1" w:themeShade="BF"/>
          <w:sz w:val="32"/>
          <w:szCs w:val="32"/>
        </w:rPr>
      </w:pPr>
      <w:r>
        <w:br w:type="page"/>
      </w:r>
    </w:p>
    <w:p w:rsidR="00404FB4" w:rsidRPr="009D11B2" w:rsidRDefault="00404FB4" w:rsidP="00404FB4">
      <w:pPr>
        <w:spacing w:after="0" w:line="240" w:lineRule="auto"/>
        <w:contextualSpacing/>
        <w:jc w:val="both"/>
      </w:pPr>
      <w:r w:rsidRPr="009D11B2">
        <w:lastRenderedPageBreak/>
        <w:t>This code is a description of what NWUPC Ltd deems to be acceptable ethical practices.</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rPr>
          <w:b/>
        </w:rPr>
      </w:pPr>
      <w:r w:rsidRPr="009D11B2">
        <w:rPr>
          <w:b/>
        </w:rPr>
        <w:t>Compliance with Applicable Law</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pPr>
      <w:r w:rsidRPr="009D11B2">
        <w:t xml:space="preserve">We comply with all laws and regulations that apply to </w:t>
      </w:r>
      <w:r>
        <w:t>t</w:t>
      </w:r>
      <w:r w:rsidRPr="009D11B2">
        <w:t>he Consortium and its Members. Should any aspects be considered by us to be inadequate or ambiguous, our aim is to set a higher ethical standard exceeding the basic requirements of applicable law.</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rPr>
          <w:b/>
        </w:rPr>
      </w:pPr>
      <w:r w:rsidRPr="009D11B2">
        <w:rPr>
          <w:b/>
        </w:rPr>
        <w:t xml:space="preserve">Business Relationships </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pPr>
      <w:r w:rsidRPr="009D11B2">
        <w:t>When dealing with suppliers we will</w:t>
      </w:r>
      <w:r>
        <w:t xml:space="preserve"> aim to</w:t>
      </w:r>
      <w:r w:rsidRPr="009D11B2">
        <w:t>:-</w:t>
      </w:r>
    </w:p>
    <w:p w:rsidR="00404FB4" w:rsidRPr="009D11B2" w:rsidRDefault="00404FB4" w:rsidP="00404FB4">
      <w:pPr>
        <w:numPr>
          <w:ilvl w:val="0"/>
          <w:numId w:val="6"/>
        </w:numPr>
        <w:spacing w:after="0" w:line="240" w:lineRule="auto"/>
        <w:contextualSpacing/>
        <w:jc w:val="both"/>
      </w:pPr>
      <w:r w:rsidRPr="009D11B2">
        <w:t>Be objective in choosing suppliers that can meet the needs of our Members</w:t>
      </w:r>
    </w:p>
    <w:p w:rsidR="00404FB4" w:rsidRPr="009D11B2" w:rsidRDefault="00404FB4" w:rsidP="00404FB4">
      <w:pPr>
        <w:numPr>
          <w:ilvl w:val="0"/>
          <w:numId w:val="6"/>
        </w:numPr>
        <w:spacing w:after="0" w:line="240" w:lineRule="auto"/>
        <w:contextualSpacing/>
        <w:jc w:val="both"/>
      </w:pPr>
      <w:r w:rsidRPr="009D11B2">
        <w:t>Not make decisions biased by personal opinions or relationships</w:t>
      </w:r>
    </w:p>
    <w:p w:rsidR="00404FB4" w:rsidRPr="009D11B2" w:rsidRDefault="00404FB4" w:rsidP="00404FB4">
      <w:pPr>
        <w:numPr>
          <w:ilvl w:val="0"/>
          <w:numId w:val="6"/>
        </w:numPr>
        <w:spacing w:after="0" w:line="240" w:lineRule="auto"/>
        <w:contextualSpacing/>
        <w:jc w:val="both"/>
      </w:pPr>
      <w:r w:rsidRPr="009D11B2">
        <w:t xml:space="preserve">Act with </w:t>
      </w:r>
      <w:r>
        <w:t>i</w:t>
      </w:r>
      <w:r w:rsidRPr="009D11B2">
        <w:t>ntegrity</w:t>
      </w:r>
      <w:r>
        <w:t>,</w:t>
      </w:r>
      <w:r w:rsidRPr="009D11B2">
        <w:t xml:space="preserve"> conducting all dealings professionally and fairly</w:t>
      </w:r>
    </w:p>
    <w:p w:rsidR="00404FB4" w:rsidRPr="009D11B2" w:rsidRDefault="00404FB4" w:rsidP="00404FB4">
      <w:pPr>
        <w:numPr>
          <w:ilvl w:val="0"/>
          <w:numId w:val="6"/>
        </w:numPr>
        <w:spacing w:after="0" w:line="240" w:lineRule="auto"/>
        <w:contextualSpacing/>
        <w:jc w:val="both"/>
      </w:pPr>
      <w:r w:rsidRPr="009D11B2">
        <w:t>Ensure promises are kept both orally and where required in writing</w:t>
      </w:r>
    </w:p>
    <w:p w:rsidR="00404FB4" w:rsidRPr="009D11B2" w:rsidRDefault="00404FB4" w:rsidP="00404FB4">
      <w:pPr>
        <w:numPr>
          <w:ilvl w:val="0"/>
          <w:numId w:val="6"/>
        </w:numPr>
        <w:spacing w:after="0" w:line="240" w:lineRule="auto"/>
        <w:contextualSpacing/>
        <w:jc w:val="both"/>
      </w:pPr>
      <w:r w:rsidRPr="009D11B2">
        <w:t>Apply our ethical principles across the supply chains impacting on NWUPC</w:t>
      </w:r>
      <w:r>
        <w:t xml:space="preserve"> Ltd</w:t>
      </w:r>
    </w:p>
    <w:p w:rsidR="00404FB4" w:rsidRPr="009D11B2" w:rsidRDefault="00404FB4" w:rsidP="00404FB4">
      <w:pPr>
        <w:numPr>
          <w:ilvl w:val="0"/>
          <w:numId w:val="6"/>
        </w:numPr>
        <w:spacing w:after="0" w:line="240" w:lineRule="auto"/>
        <w:contextualSpacing/>
        <w:jc w:val="both"/>
      </w:pPr>
      <w:r w:rsidRPr="009D11B2">
        <w:t xml:space="preserve">Follow the </w:t>
      </w:r>
      <w:r w:rsidRPr="001829DE">
        <w:t xml:space="preserve">Chartered Institute of Purchasing and Supply’s </w:t>
      </w:r>
      <w:r>
        <w:t xml:space="preserve">Corporate Code of Ethics </w:t>
      </w:r>
      <w:r w:rsidRPr="001829DE">
        <w:t xml:space="preserve"> </w:t>
      </w:r>
      <w:hyperlink r:id="rId8" w:history="1">
        <w:r w:rsidRPr="00F82491">
          <w:rPr>
            <w:rStyle w:val="Hyperlink"/>
          </w:rPr>
          <w:t>https://www.cips.org/CIPS-for-Business/supply-assurance/Corporate-Ethical-Procurement-and-Supply/Corporate-Code-of-Ethics/</w:t>
        </w:r>
      </w:hyperlink>
      <w:r>
        <w:t xml:space="preserve"> </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rPr>
          <w:b/>
        </w:rPr>
      </w:pPr>
      <w:r w:rsidRPr="009D11B2">
        <w:rPr>
          <w:b/>
        </w:rPr>
        <w:t>Use of Best Practice</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pPr>
      <w:r w:rsidRPr="009D11B2">
        <w:t>NWUPC</w:t>
      </w:r>
      <w:r>
        <w:t xml:space="preserve"> Ltd</w:t>
      </w:r>
      <w:r w:rsidRPr="009D11B2">
        <w:t xml:space="preserve"> will, where appro</w:t>
      </w:r>
      <w:r>
        <w:t>priate, use</w:t>
      </w:r>
      <w:r w:rsidRPr="009D11B2">
        <w:t xml:space="preserve"> best practice such as:-</w:t>
      </w:r>
    </w:p>
    <w:p w:rsidR="00404FB4" w:rsidRDefault="00404FB4" w:rsidP="00404FB4">
      <w:pPr>
        <w:numPr>
          <w:ilvl w:val="0"/>
          <w:numId w:val="8"/>
        </w:numPr>
        <w:spacing w:after="0" w:line="240" w:lineRule="auto"/>
        <w:contextualSpacing/>
      </w:pPr>
      <w:r w:rsidRPr="009A47CC">
        <w:t xml:space="preserve">Chartered Institute of Purchasing and Supply’s </w:t>
      </w:r>
      <w:r>
        <w:t>Code of Conduct for its Members</w:t>
      </w:r>
    </w:p>
    <w:p w:rsidR="00404FB4" w:rsidRPr="009A47CC" w:rsidRDefault="00404FB4" w:rsidP="00404FB4">
      <w:pPr>
        <w:spacing w:after="0" w:line="240" w:lineRule="auto"/>
        <w:ind w:left="720"/>
        <w:contextualSpacing/>
      </w:pPr>
      <w:hyperlink r:id="rId9" w:history="1">
        <w:r w:rsidRPr="00F82491">
          <w:rPr>
            <w:rStyle w:val="Hyperlink"/>
          </w:rPr>
          <w:t>https://www.cips.org/en-GB/aboutcips/CIPS-Code-of-Conduct/</w:t>
        </w:r>
      </w:hyperlink>
      <w:r>
        <w:t xml:space="preserve"> </w:t>
      </w:r>
    </w:p>
    <w:p w:rsidR="00404FB4" w:rsidRPr="009A47CC" w:rsidRDefault="00404FB4" w:rsidP="00404FB4">
      <w:pPr>
        <w:numPr>
          <w:ilvl w:val="0"/>
          <w:numId w:val="8"/>
        </w:numPr>
        <w:spacing w:after="0" w:line="240" w:lineRule="auto"/>
        <w:contextualSpacing/>
      </w:pPr>
      <w:r w:rsidRPr="009D11B2">
        <w:t xml:space="preserve">Compliance with Legislation </w:t>
      </w:r>
      <w:r>
        <w:t xml:space="preserve">and Procurement </w:t>
      </w:r>
      <w:r w:rsidRPr="009D11B2">
        <w:t>Guidance at:-</w:t>
      </w:r>
      <w:r w:rsidRPr="009A47CC">
        <w:t xml:space="preserve"> </w:t>
      </w:r>
      <w:hyperlink r:id="rId10" w:history="1">
        <w:r w:rsidRPr="00F82491">
          <w:rPr>
            <w:rStyle w:val="Hyperlink"/>
          </w:rPr>
          <w:t>https://ccs.cabinetoffice.gov.uk/i-am-buyer/introduction-buyers/current-procurement-regulations</w:t>
        </w:r>
      </w:hyperlink>
      <w:r>
        <w:t xml:space="preserve"> </w:t>
      </w:r>
    </w:p>
    <w:p w:rsidR="00404FB4" w:rsidRPr="009D11B2" w:rsidRDefault="00404FB4" w:rsidP="00404FB4">
      <w:pPr>
        <w:spacing w:after="0" w:line="240" w:lineRule="auto"/>
        <w:contextualSpacing/>
        <w:jc w:val="both"/>
        <w:rPr>
          <w:b/>
        </w:rPr>
      </w:pPr>
    </w:p>
    <w:p w:rsidR="00404FB4" w:rsidRPr="009D11B2" w:rsidRDefault="00404FB4" w:rsidP="00404FB4">
      <w:pPr>
        <w:spacing w:after="0" w:line="240" w:lineRule="auto"/>
        <w:contextualSpacing/>
        <w:jc w:val="both"/>
      </w:pPr>
      <w:r w:rsidRPr="009D11B2">
        <w:rPr>
          <w:b/>
        </w:rPr>
        <w:t>Avoidance of Conflicts Of Interest</w:t>
      </w:r>
    </w:p>
    <w:p w:rsidR="00404FB4" w:rsidRPr="009D11B2" w:rsidRDefault="00404FB4" w:rsidP="00404FB4">
      <w:pPr>
        <w:spacing w:after="0" w:line="240" w:lineRule="auto"/>
        <w:contextualSpacing/>
        <w:jc w:val="both"/>
      </w:pPr>
    </w:p>
    <w:p w:rsidR="00404FB4" w:rsidRPr="009D11B2" w:rsidRDefault="00404FB4" w:rsidP="00404FB4">
      <w:pPr>
        <w:spacing w:after="0" w:line="240" w:lineRule="auto"/>
        <w:contextualSpacing/>
        <w:jc w:val="both"/>
      </w:pPr>
      <w:r w:rsidRPr="009D11B2">
        <w:t>NWUPC</w:t>
      </w:r>
      <w:r>
        <w:t xml:space="preserve"> Ltd</w:t>
      </w:r>
      <w:r w:rsidRPr="009D11B2">
        <w:t xml:space="preserve"> will ensure:-</w:t>
      </w:r>
    </w:p>
    <w:p w:rsidR="00404FB4" w:rsidRPr="009D11B2" w:rsidRDefault="00404FB4" w:rsidP="00404FB4">
      <w:pPr>
        <w:numPr>
          <w:ilvl w:val="0"/>
          <w:numId w:val="7"/>
        </w:numPr>
        <w:spacing w:after="0" w:line="240" w:lineRule="auto"/>
        <w:contextualSpacing/>
        <w:jc w:val="both"/>
      </w:pPr>
      <w:r w:rsidRPr="009D11B2">
        <w:t>That any interests of its staff or other officers are declared</w:t>
      </w:r>
    </w:p>
    <w:p w:rsidR="00404FB4" w:rsidRPr="009D11B2" w:rsidRDefault="00404FB4" w:rsidP="00404FB4">
      <w:pPr>
        <w:numPr>
          <w:ilvl w:val="0"/>
          <w:numId w:val="7"/>
        </w:numPr>
        <w:spacing w:after="0" w:line="240" w:lineRule="auto"/>
        <w:contextualSpacing/>
        <w:jc w:val="both"/>
      </w:pPr>
      <w:r w:rsidRPr="009D11B2">
        <w:t>That individuals do</w:t>
      </w:r>
      <w:r>
        <w:t xml:space="preserve"> no</w:t>
      </w:r>
      <w:r w:rsidRPr="009D11B2">
        <w:t>t have an undeclared interest in any organisation that:-</w:t>
      </w:r>
    </w:p>
    <w:p w:rsidR="00404FB4" w:rsidRPr="009D11B2" w:rsidRDefault="00404FB4" w:rsidP="00404FB4">
      <w:pPr>
        <w:numPr>
          <w:ilvl w:val="1"/>
          <w:numId w:val="7"/>
        </w:numPr>
        <w:spacing w:after="0" w:line="240" w:lineRule="auto"/>
        <w:contextualSpacing/>
        <w:jc w:val="both"/>
      </w:pPr>
      <w:r w:rsidRPr="009D11B2">
        <w:t>has a trading relationship with NWUPC</w:t>
      </w:r>
      <w:r>
        <w:t xml:space="preserve"> Ltd</w:t>
      </w:r>
      <w:r w:rsidRPr="009D11B2">
        <w:t xml:space="preserve"> </w:t>
      </w:r>
    </w:p>
    <w:p w:rsidR="00404FB4" w:rsidRPr="009D11B2" w:rsidRDefault="00404FB4" w:rsidP="00404FB4">
      <w:pPr>
        <w:numPr>
          <w:ilvl w:val="1"/>
          <w:numId w:val="7"/>
        </w:numPr>
        <w:spacing w:after="0" w:line="240" w:lineRule="auto"/>
        <w:contextualSpacing/>
        <w:jc w:val="both"/>
      </w:pPr>
      <w:proofErr w:type="gramStart"/>
      <w:r w:rsidRPr="009D11B2">
        <w:t>is</w:t>
      </w:r>
      <w:proofErr w:type="gramEnd"/>
      <w:r w:rsidRPr="009D11B2">
        <w:t xml:space="preserve"> tendering for goods and/or services for NWUPC</w:t>
      </w:r>
      <w:r>
        <w:t xml:space="preserve"> Ltd</w:t>
      </w:r>
      <w:r w:rsidRPr="009D11B2">
        <w:t xml:space="preserve"> and/or its members. </w:t>
      </w:r>
    </w:p>
    <w:p w:rsidR="00404FB4" w:rsidRPr="009D11B2" w:rsidRDefault="00404FB4" w:rsidP="00404FB4">
      <w:pPr>
        <w:spacing w:after="0" w:line="240" w:lineRule="auto"/>
        <w:ind w:left="1440"/>
        <w:contextualSpacing/>
        <w:jc w:val="both"/>
      </w:pPr>
    </w:p>
    <w:p w:rsidR="00404FB4" w:rsidRPr="009D11B2" w:rsidRDefault="00404FB4" w:rsidP="00404FB4">
      <w:pPr>
        <w:spacing w:after="0" w:line="240" w:lineRule="auto"/>
        <w:contextualSpacing/>
        <w:jc w:val="both"/>
      </w:pPr>
      <w:r w:rsidRPr="009D11B2">
        <w:t>Where any conflicts of interest (real or perceived) exist a Declaration of Personal Interest Form should be completed. Declarable interests are links with firms and include:</w:t>
      </w:r>
    </w:p>
    <w:p w:rsidR="00404FB4" w:rsidRPr="009D11B2" w:rsidRDefault="00404FB4" w:rsidP="00404FB4">
      <w:pPr>
        <w:numPr>
          <w:ilvl w:val="0"/>
          <w:numId w:val="7"/>
        </w:numPr>
        <w:spacing w:after="0" w:line="240" w:lineRule="auto"/>
        <w:contextualSpacing/>
        <w:jc w:val="both"/>
      </w:pPr>
      <w:r w:rsidRPr="009D11B2">
        <w:t>Financial interests in, or employment of, staff (or their immediate family members) with suppliers to the NWUPC</w:t>
      </w:r>
      <w:r>
        <w:t xml:space="preserve"> Ltd</w:t>
      </w:r>
    </w:p>
    <w:p w:rsidR="00404FB4" w:rsidRDefault="00404FB4" w:rsidP="00404FB4">
      <w:pPr>
        <w:numPr>
          <w:ilvl w:val="0"/>
          <w:numId w:val="7"/>
        </w:numPr>
        <w:spacing w:after="0" w:line="240" w:lineRule="auto"/>
        <w:contextualSpacing/>
        <w:jc w:val="both"/>
      </w:pPr>
      <w:r w:rsidRPr="009D11B2">
        <w:t>Loans from suppliers to staff (or their immediate families), but excluding loans from banks, insurance companies and others for whom this activity is their main area of business</w:t>
      </w:r>
      <w:r>
        <w:t>.</w:t>
      </w:r>
    </w:p>
    <w:p w:rsidR="00404FB4" w:rsidRDefault="00404FB4" w:rsidP="00404FB4">
      <w:pPr>
        <w:spacing w:after="0" w:line="240" w:lineRule="auto"/>
        <w:contextualSpacing/>
        <w:jc w:val="both"/>
      </w:pPr>
    </w:p>
    <w:p w:rsidR="005A2474" w:rsidRDefault="00404FB4" w:rsidP="00404FB4">
      <w:pPr>
        <w:spacing w:after="0" w:line="240" w:lineRule="auto"/>
        <w:contextualSpacing/>
        <w:jc w:val="both"/>
      </w:pPr>
      <w:r>
        <w:t>NWUPC Ltd seeks to uphold the highest professional standards as per CIPS and its members’ expectations.  Further details of its operational arrangements can be found in its Strategy, Memorandum and Articles, Members Agreement and Whistleblowing Policy.</w:t>
      </w:r>
    </w:p>
    <w:p w:rsidR="005A2474" w:rsidRDefault="005A2474" w:rsidP="005A2474"/>
    <w:p w:rsidR="005A2474" w:rsidRDefault="005A2474" w:rsidP="005A2474"/>
    <w:p w:rsidR="005A2474" w:rsidRDefault="005A2474" w:rsidP="005A2474"/>
    <w:p w:rsidR="005A2474" w:rsidRPr="005A2474" w:rsidRDefault="005A2474" w:rsidP="005A2474">
      <w:bookmarkStart w:id="0" w:name="_GoBack"/>
      <w:bookmarkEnd w:id="0"/>
    </w:p>
    <w:sectPr w:rsidR="005A2474" w:rsidRPr="005A2474" w:rsidSect="000762C4">
      <w:footerReference w:type="default" r:id="rId11"/>
      <w:headerReference w:type="first" r:id="rId12"/>
      <w:footerReference w:type="first" r:id="rId13"/>
      <w:pgSz w:w="11906" w:h="16838" w:code="9"/>
      <w:pgMar w:top="1134" w:right="1440" w:bottom="993"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84" w:rsidRDefault="00267A84" w:rsidP="001A1B26">
      <w:pPr>
        <w:spacing w:after="0" w:line="240" w:lineRule="auto"/>
      </w:pPr>
      <w:r>
        <w:separator/>
      </w:r>
    </w:p>
  </w:endnote>
  <w:endnote w:type="continuationSeparator" w:id="0">
    <w:p w:rsidR="00267A84" w:rsidRDefault="00267A84" w:rsidP="001A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4064"/>
      <w:docPartObj>
        <w:docPartGallery w:val="Page Numbers (Bottom of Page)"/>
        <w:docPartUnique/>
      </w:docPartObj>
    </w:sdtPr>
    <w:sdtEndPr/>
    <w:sdtContent>
      <w:sdt>
        <w:sdtPr>
          <w:id w:val="982129726"/>
          <w:docPartObj>
            <w:docPartGallery w:val="Page Numbers (Top of Page)"/>
            <w:docPartUnique/>
          </w:docPartObj>
        </w:sdtPr>
        <w:sdtEndPr/>
        <w:sdtContent>
          <w:p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04F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FB4">
              <w:rPr>
                <w:b/>
                <w:bCs/>
                <w:noProof/>
              </w:rPr>
              <w:t>2</w:t>
            </w:r>
            <w:r>
              <w:rPr>
                <w:b/>
                <w:bCs/>
                <w:sz w:val="24"/>
                <w:szCs w:val="24"/>
              </w:rPr>
              <w:fldChar w:fldCharType="end"/>
            </w:r>
          </w:p>
          <w:p w:rsidR="00C51A97" w:rsidRDefault="00C51A97" w:rsidP="00C51A97">
            <w:pPr>
              <w:pStyle w:val="Footer"/>
            </w:pPr>
            <w:proofErr w:type="gramStart"/>
            <w:r w:rsidRPr="00C51A97">
              <w:rPr>
                <w:bCs/>
                <w:sz w:val="18"/>
                <w:szCs w:val="18"/>
              </w:rPr>
              <w:t>v.</w:t>
            </w:r>
            <w:r w:rsidR="00404FB4">
              <w:rPr>
                <w:bCs/>
                <w:sz w:val="18"/>
                <w:szCs w:val="18"/>
              </w:rPr>
              <w:t>1</w:t>
            </w:r>
            <w:proofErr w:type="gramEnd"/>
            <w:r w:rsidR="00404FB4">
              <w:rPr>
                <w:bCs/>
                <w:sz w:val="18"/>
                <w:szCs w:val="18"/>
              </w:rPr>
              <w:t xml:space="preserve"> PT</w:t>
            </w:r>
            <w:r w:rsidR="003E7C5F">
              <w:rPr>
                <w:bCs/>
                <w:sz w:val="18"/>
                <w:szCs w:val="18"/>
              </w:rPr>
              <w:t xml:space="preserve"> Oct 2014</w:t>
            </w:r>
          </w:p>
        </w:sdtContent>
      </w:sdt>
    </w:sdtContent>
  </w:sdt>
  <w:p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4E53ABF" wp14:editId="390B71D3">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3A997522" wp14:editId="2C2F7FB5">
          <wp:simplePos x="0" y="0"/>
          <wp:positionH relativeFrom="margin">
            <wp:posOffset>4495800</wp:posOffset>
          </wp:positionH>
          <wp:positionV relativeFrom="page">
            <wp:posOffset>9972675</wp:posOffset>
          </wp:positionV>
          <wp:extent cx="1432800" cy="316800"/>
          <wp:effectExtent l="0" t="0" r="0" b="7620"/>
          <wp:wrapNone/>
          <wp:docPr id="60"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rsidR="00EC5EF6" w:rsidRDefault="00EC5EF6" w:rsidP="00EC5EF6">
    <w:pPr>
      <w:pStyle w:val="Footer"/>
      <w:ind w:left="-426"/>
      <w:jc w:val="center"/>
      <w:rPr>
        <w:rFonts w:ascii="Arial" w:hAnsi="Arial" w:cs="Arial"/>
        <w:sz w:val="12"/>
      </w:rPr>
    </w:pPr>
  </w:p>
  <w:p w:rsidR="00EC5EF6" w:rsidRDefault="00EC5EF6" w:rsidP="00EC5EF6">
    <w:pPr>
      <w:pStyle w:val="Footer"/>
      <w:ind w:left="-426"/>
      <w:jc w:val="center"/>
      <w:rPr>
        <w:rFonts w:ascii="Arial" w:hAnsi="Arial" w:cs="Arial"/>
        <w:sz w:val="12"/>
      </w:rPr>
    </w:pPr>
  </w:p>
  <w:p w:rsidR="00EC5EF6" w:rsidRDefault="00EC5EF6">
    <w:pPr>
      <w:pStyle w:val="Footer"/>
    </w:pPr>
  </w:p>
  <w:p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84" w:rsidRDefault="00267A84" w:rsidP="001A1B26">
      <w:pPr>
        <w:spacing w:after="0" w:line="240" w:lineRule="auto"/>
      </w:pPr>
      <w:r>
        <w:separator/>
      </w:r>
    </w:p>
  </w:footnote>
  <w:footnote w:type="continuationSeparator" w:id="0">
    <w:p w:rsidR="00267A84" w:rsidRDefault="00267A84"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2A" w:rsidRDefault="00E3732A">
    <w:pPr>
      <w:pStyle w:val="Header"/>
    </w:pPr>
    <w:r>
      <w:rPr>
        <w:noProof/>
        <w:lang w:eastAsia="en-GB"/>
      </w:rPr>
      <w:drawing>
        <wp:anchor distT="0" distB="0" distL="114300" distR="114300" simplePos="0" relativeHeight="251661312" behindDoc="0" locked="0" layoutInCell="1" allowOverlap="1" wp14:anchorId="491B87E5" wp14:editId="40393CD9">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CD3A8E"/>
    <w:multiLevelType w:val="hybridMultilevel"/>
    <w:tmpl w:val="E60C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D27FF"/>
    <w:multiLevelType w:val="hybridMultilevel"/>
    <w:tmpl w:val="51F8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5B23DA"/>
    <w:multiLevelType w:val="hybridMultilevel"/>
    <w:tmpl w:val="DA06CB3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306E"/>
    <w:rsid w:val="00026374"/>
    <w:rsid w:val="00060B24"/>
    <w:rsid w:val="000762C4"/>
    <w:rsid w:val="00082869"/>
    <w:rsid w:val="000C24AD"/>
    <w:rsid w:val="000D5C1C"/>
    <w:rsid w:val="000E678A"/>
    <w:rsid w:val="00121B3A"/>
    <w:rsid w:val="001446B7"/>
    <w:rsid w:val="001470A9"/>
    <w:rsid w:val="00155594"/>
    <w:rsid w:val="001900EA"/>
    <w:rsid w:val="00197680"/>
    <w:rsid w:val="001A1B26"/>
    <w:rsid w:val="001C0560"/>
    <w:rsid w:val="001C7A47"/>
    <w:rsid w:val="001D7436"/>
    <w:rsid w:val="00217575"/>
    <w:rsid w:val="00235E60"/>
    <w:rsid w:val="00267A84"/>
    <w:rsid w:val="002A1823"/>
    <w:rsid w:val="002C177E"/>
    <w:rsid w:val="002E54DC"/>
    <w:rsid w:val="0034772D"/>
    <w:rsid w:val="003508BE"/>
    <w:rsid w:val="00350952"/>
    <w:rsid w:val="00375E3C"/>
    <w:rsid w:val="00376696"/>
    <w:rsid w:val="00392A41"/>
    <w:rsid w:val="003E7C5F"/>
    <w:rsid w:val="00404FB4"/>
    <w:rsid w:val="00443C9A"/>
    <w:rsid w:val="0045008D"/>
    <w:rsid w:val="004537BB"/>
    <w:rsid w:val="004C3FD3"/>
    <w:rsid w:val="004E23CD"/>
    <w:rsid w:val="0050759B"/>
    <w:rsid w:val="00511614"/>
    <w:rsid w:val="005157F4"/>
    <w:rsid w:val="005300AF"/>
    <w:rsid w:val="00555146"/>
    <w:rsid w:val="0055661B"/>
    <w:rsid w:val="005737E6"/>
    <w:rsid w:val="005A2474"/>
    <w:rsid w:val="005B6E86"/>
    <w:rsid w:val="005F1A4F"/>
    <w:rsid w:val="00617995"/>
    <w:rsid w:val="00633958"/>
    <w:rsid w:val="006C07AD"/>
    <w:rsid w:val="006D501C"/>
    <w:rsid w:val="006F37DB"/>
    <w:rsid w:val="00700237"/>
    <w:rsid w:val="0078278C"/>
    <w:rsid w:val="007A4766"/>
    <w:rsid w:val="007B3752"/>
    <w:rsid w:val="007B7A0C"/>
    <w:rsid w:val="007C2F2D"/>
    <w:rsid w:val="007E15BB"/>
    <w:rsid w:val="00801BFC"/>
    <w:rsid w:val="0084012F"/>
    <w:rsid w:val="008442FE"/>
    <w:rsid w:val="00882F72"/>
    <w:rsid w:val="00902427"/>
    <w:rsid w:val="009137D6"/>
    <w:rsid w:val="0091594A"/>
    <w:rsid w:val="0095090E"/>
    <w:rsid w:val="00954816"/>
    <w:rsid w:val="00964B33"/>
    <w:rsid w:val="00966B80"/>
    <w:rsid w:val="009D3EAC"/>
    <w:rsid w:val="00A15C18"/>
    <w:rsid w:val="00A660B7"/>
    <w:rsid w:val="00AA6AA2"/>
    <w:rsid w:val="00B21B45"/>
    <w:rsid w:val="00B27DE7"/>
    <w:rsid w:val="00B27E91"/>
    <w:rsid w:val="00B46DDD"/>
    <w:rsid w:val="00B60AF3"/>
    <w:rsid w:val="00B90C97"/>
    <w:rsid w:val="00BB4410"/>
    <w:rsid w:val="00BC47B5"/>
    <w:rsid w:val="00C02B60"/>
    <w:rsid w:val="00C25F40"/>
    <w:rsid w:val="00C3078D"/>
    <w:rsid w:val="00C40E6B"/>
    <w:rsid w:val="00C51A97"/>
    <w:rsid w:val="00C732D2"/>
    <w:rsid w:val="00C76AEE"/>
    <w:rsid w:val="00C85340"/>
    <w:rsid w:val="00CE2979"/>
    <w:rsid w:val="00D02280"/>
    <w:rsid w:val="00D0268C"/>
    <w:rsid w:val="00D3228C"/>
    <w:rsid w:val="00D428E6"/>
    <w:rsid w:val="00D5638F"/>
    <w:rsid w:val="00DA5968"/>
    <w:rsid w:val="00E3732A"/>
    <w:rsid w:val="00E5584E"/>
    <w:rsid w:val="00E837B8"/>
    <w:rsid w:val="00EB02B7"/>
    <w:rsid w:val="00EB15B3"/>
    <w:rsid w:val="00EC5EF6"/>
    <w:rsid w:val="00EF0AAA"/>
    <w:rsid w:val="00EF48EB"/>
    <w:rsid w:val="00F026EF"/>
    <w:rsid w:val="00F405A3"/>
    <w:rsid w:val="00F45A3E"/>
    <w:rsid w:val="00F62D86"/>
    <w:rsid w:val="00FA5580"/>
    <w:rsid w:val="00FA5630"/>
    <w:rsid w:val="00F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s.org/CIPS-for-Business/supply-assurance/Corporate-Ethical-Procurement-and-Supply/Corporat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s.cabinetoffice.gov.uk/i-am-buyer/introduction-buyers/current-procurement-regulations" TargetMode="External"/><Relationship Id="rId4" Type="http://schemas.openxmlformats.org/officeDocument/2006/relationships/settings" Target="settings.xml"/><Relationship Id="rId9" Type="http://schemas.openxmlformats.org/officeDocument/2006/relationships/hyperlink" Target="https://www.cips.org/en-GB/aboutcips/CIPS-Code-of-Condu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B910-9E94-465E-91EA-39C5B5BB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2</cp:revision>
  <cp:lastPrinted>2014-09-03T09:51:00Z</cp:lastPrinted>
  <dcterms:created xsi:type="dcterms:W3CDTF">2014-11-06T10:08:00Z</dcterms:created>
  <dcterms:modified xsi:type="dcterms:W3CDTF">2014-11-06T10:08:00Z</dcterms:modified>
</cp:coreProperties>
</file>