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83" w:type="pct"/>
        <w:jc w:val="center"/>
        <w:shd w:val="clear" w:color="auto" w:fill="F3F3F3"/>
        <w:tblCellMar>
          <w:left w:w="0" w:type="dxa"/>
          <w:right w:w="0" w:type="dxa"/>
        </w:tblCellMar>
        <w:tblLook w:val="04A0" w:firstRow="1" w:lastRow="0" w:firstColumn="1" w:lastColumn="0" w:noHBand="0" w:noVBand="1"/>
      </w:tblPr>
      <w:tblGrid>
        <w:gridCol w:w="17129"/>
      </w:tblGrid>
      <w:tr w:rsidR="00AE3FE0" w14:paraId="20135A0C" w14:textId="77777777" w:rsidTr="00AE3FE0">
        <w:trPr>
          <w:jc w:val="center"/>
        </w:trPr>
        <w:tc>
          <w:tcPr>
            <w:tcW w:w="5000" w:type="pct"/>
            <w:shd w:val="clear" w:color="auto" w:fill="F3F3F3"/>
            <w:hideMark/>
          </w:tcPr>
          <w:tbl>
            <w:tblPr>
              <w:tblW w:w="9195" w:type="dxa"/>
              <w:jc w:val="center"/>
              <w:tblCellMar>
                <w:left w:w="0" w:type="dxa"/>
                <w:right w:w="0" w:type="dxa"/>
              </w:tblCellMar>
              <w:tblLook w:val="04A0" w:firstRow="1" w:lastRow="0" w:firstColumn="1" w:lastColumn="0" w:noHBand="0" w:noVBand="1"/>
            </w:tblPr>
            <w:tblGrid>
              <w:gridCol w:w="9195"/>
            </w:tblGrid>
            <w:tr w:rsidR="00AE3FE0" w14:paraId="143D08AD" w14:textId="77777777">
              <w:trPr>
                <w:jc w:val="center"/>
              </w:trPr>
              <w:tc>
                <w:tcPr>
                  <w:tcW w:w="9195" w:type="dxa"/>
                  <w:hideMark/>
                </w:tcPr>
                <w:tbl>
                  <w:tblPr>
                    <w:tblW w:w="9195" w:type="dxa"/>
                    <w:jc w:val="center"/>
                    <w:tblCellMar>
                      <w:left w:w="0" w:type="dxa"/>
                      <w:right w:w="0" w:type="dxa"/>
                    </w:tblCellMar>
                    <w:tblLook w:val="04A0" w:firstRow="1" w:lastRow="0" w:firstColumn="1" w:lastColumn="0" w:noHBand="0" w:noVBand="1"/>
                  </w:tblPr>
                  <w:tblGrid>
                    <w:gridCol w:w="9195"/>
                  </w:tblGrid>
                  <w:tr w:rsidR="00AE3FE0" w14:paraId="5BF2A45B" w14:textId="77777777">
                    <w:trPr>
                      <w:trHeight w:val="5230"/>
                      <w:jc w:val="center"/>
                    </w:trPr>
                    <w:tc>
                      <w:tcPr>
                        <w:tcW w:w="0" w:type="auto"/>
                        <w:tcMar>
                          <w:top w:w="75" w:type="dxa"/>
                          <w:left w:w="0" w:type="dxa"/>
                          <w:bottom w:w="75" w:type="dxa"/>
                          <w:right w:w="0" w:type="dxa"/>
                        </w:tcMar>
                        <w:hideMark/>
                      </w:tcPr>
                      <w:tbl>
                        <w:tblPr>
                          <w:tblW w:w="4708" w:type="pct"/>
                          <w:tblCellMar>
                            <w:left w:w="0" w:type="dxa"/>
                            <w:right w:w="0" w:type="dxa"/>
                          </w:tblCellMar>
                          <w:tblLook w:val="04A0" w:firstRow="1" w:lastRow="0" w:firstColumn="1" w:lastColumn="0" w:noHBand="0" w:noVBand="1"/>
                        </w:tblPr>
                        <w:tblGrid>
                          <w:gridCol w:w="8658"/>
                        </w:tblGrid>
                        <w:tr w:rsidR="00AE3FE0" w14:paraId="4EB2E4F6" w14:textId="77777777">
                          <w:trPr>
                            <w:trHeight w:val="806"/>
                          </w:trPr>
                          <w:tc>
                            <w:tcPr>
                              <w:tcW w:w="5000" w:type="pct"/>
                              <w:shd w:val="clear" w:color="auto" w:fill="D8BDFB"/>
                              <w:tcMar>
                                <w:top w:w="150" w:type="dxa"/>
                                <w:left w:w="150" w:type="dxa"/>
                                <w:bottom w:w="150" w:type="dxa"/>
                                <w:right w:w="150" w:type="dxa"/>
                              </w:tcMar>
                            </w:tcPr>
                            <w:p w14:paraId="3DAE4D38" w14:textId="4E3BF951" w:rsidR="00AE3FE0" w:rsidRDefault="00AE3FE0">
                              <w:pPr>
                                <w:rPr>
                                  <w:rFonts w:ascii="Gadugi" w:hAnsi="Gadugi"/>
                                  <w:sz w:val="24"/>
                                  <w:szCs w:val="24"/>
                                </w:rPr>
                              </w:pPr>
                              <w:bookmarkStart w:id="0" w:name="_MailOriginal"/>
                              <w:r>
                                <w:rPr>
                                  <w:rFonts w:ascii="Gadugi" w:hAnsi="Gadugi"/>
                                  <w:noProof/>
                                  <w:sz w:val="24"/>
                                  <w:szCs w:val="24"/>
                                </w:rPr>
                                <w:drawing>
                                  <wp:inline distT="0" distB="0" distL="0" distR="0" wp14:anchorId="04DF52BB" wp14:editId="1A28839D">
                                    <wp:extent cx="1933575" cy="981075"/>
                                    <wp:effectExtent l="0" t="0" r="9525"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981075"/>
                                            </a:xfrm>
                                            <a:prstGeom prst="rect">
                                              <a:avLst/>
                                            </a:prstGeom>
                                            <a:noFill/>
                                            <a:ln>
                                              <a:noFill/>
                                            </a:ln>
                                          </pic:spPr>
                                        </pic:pic>
                                      </a:graphicData>
                                    </a:graphic>
                                  </wp:inline>
                                </w:drawing>
                              </w:r>
                              <w:r>
                                <w:rPr>
                                  <w:rFonts w:ascii="Gadugi" w:hAnsi="Gadugi"/>
                                  <w:sz w:val="24"/>
                                  <w:szCs w:val="24"/>
                                </w:rPr>
                                <w:t xml:space="preserve">                                </w:t>
                              </w:r>
                              <w:r>
                                <w:rPr>
                                  <w:rFonts w:ascii="Gadugi" w:hAnsi="Gadugi"/>
                                  <w:noProof/>
                                  <w:sz w:val="24"/>
                                  <w:szCs w:val="24"/>
                                </w:rPr>
                                <w:drawing>
                                  <wp:inline distT="0" distB="0" distL="0" distR="0" wp14:anchorId="067573C1" wp14:editId="32927401">
                                    <wp:extent cx="1990725" cy="990600"/>
                                    <wp:effectExtent l="0" t="0" r="9525" b="0"/>
                                    <wp:docPr id="1" name="Picture 1"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990600"/>
                                            </a:xfrm>
                                            <a:prstGeom prst="rect">
                                              <a:avLst/>
                                            </a:prstGeom>
                                            <a:noFill/>
                                            <a:ln>
                                              <a:noFill/>
                                            </a:ln>
                                          </pic:spPr>
                                        </pic:pic>
                                      </a:graphicData>
                                    </a:graphic>
                                  </wp:inline>
                                </w:drawing>
                              </w:r>
                            </w:p>
                            <w:p w14:paraId="62D52F17" w14:textId="2552F302" w:rsidR="00AE3FE0" w:rsidRDefault="00AE3FE0">
                              <w:pPr>
                                <w:rPr>
                                  <w:rFonts w:ascii="Gadugi" w:hAnsi="Gadugi" w:cstheme="minorBidi"/>
                                </w:rPr>
                              </w:pPr>
                            </w:p>
                            <w:p w14:paraId="7DEBC015" w14:textId="77777777" w:rsidR="00AE3FE0" w:rsidRDefault="00AE3FE0" w:rsidP="00AE3FE0">
                              <w:pPr>
                                <w:jc w:val="center"/>
                                <w:rPr>
                                  <w:rFonts w:ascii="Gadugi" w:eastAsiaTheme="majorEastAsia" w:hAnsi="Gadugi" w:cstheme="majorBidi"/>
                                  <w:b/>
                                  <w:bCs/>
                                  <w:color w:val="2F5496" w:themeColor="accent1" w:themeShade="BF"/>
                                  <w:sz w:val="28"/>
                                  <w:szCs w:val="28"/>
                                </w:rPr>
                              </w:pPr>
                              <w:r w:rsidRPr="00AE3FE0">
                                <w:rPr>
                                  <w:rFonts w:ascii="Gadugi" w:eastAsiaTheme="majorEastAsia" w:hAnsi="Gadugi" w:cstheme="majorBidi"/>
                                  <w:b/>
                                  <w:bCs/>
                                  <w:color w:val="2F5496" w:themeColor="accent1" w:themeShade="BF"/>
                                  <w:sz w:val="28"/>
                                  <w:szCs w:val="28"/>
                                </w:rPr>
                                <w:t xml:space="preserve">Auditing Guidance Document for </w:t>
                              </w:r>
                            </w:p>
                            <w:p w14:paraId="7A414F37" w14:textId="68897F76" w:rsidR="00AE3FE0" w:rsidRPr="00AE3FE0" w:rsidRDefault="00AE3FE0" w:rsidP="00AE3FE0">
                              <w:pPr>
                                <w:jc w:val="center"/>
                                <w:rPr>
                                  <w:rFonts w:ascii="Gadugi" w:eastAsiaTheme="majorEastAsia" w:hAnsi="Gadugi" w:cstheme="majorBidi"/>
                                  <w:b/>
                                  <w:bCs/>
                                  <w:color w:val="2F5496" w:themeColor="accent1" w:themeShade="BF"/>
                                  <w:sz w:val="28"/>
                                  <w:szCs w:val="28"/>
                                </w:rPr>
                              </w:pPr>
                              <w:r w:rsidRPr="00AE3FE0">
                                <w:rPr>
                                  <w:rFonts w:ascii="Gadugi" w:eastAsiaTheme="majorEastAsia" w:hAnsi="Gadugi" w:cstheme="majorBidi"/>
                                  <w:b/>
                                  <w:bCs/>
                                  <w:color w:val="2F5496" w:themeColor="accent1" w:themeShade="BF"/>
                                  <w:sz w:val="28"/>
                                  <w:szCs w:val="28"/>
                                </w:rPr>
                                <w:t>Financial Services Framework Agreement</w:t>
                              </w:r>
                            </w:p>
                            <w:p w14:paraId="3C0BA202" w14:textId="77777777" w:rsidR="00AE3FE0" w:rsidRPr="00AE3FE0" w:rsidRDefault="00AE3FE0">
                              <w:pPr>
                                <w:rPr>
                                  <w:rFonts w:ascii="Gadugi" w:eastAsiaTheme="majorEastAsia" w:hAnsi="Gadugi" w:cstheme="majorBidi"/>
                                  <w:b/>
                                  <w:bCs/>
                                  <w:color w:val="2F5496" w:themeColor="accent1" w:themeShade="BF"/>
                                  <w:sz w:val="28"/>
                                  <w:szCs w:val="28"/>
                                </w:rPr>
                              </w:pPr>
                            </w:p>
                            <w:p w14:paraId="5714559F" w14:textId="3098617B" w:rsidR="00AE3FE0" w:rsidRDefault="00AE3FE0">
                              <w:pPr>
                                <w:rPr>
                                  <w:rFonts w:ascii="Gadugi" w:hAnsi="Gadugi"/>
                                </w:rPr>
                              </w:pPr>
                              <w:r>
                                <w:rPr>
                                  <w:rFonts w:ascii="Gadugi" w:hAnsi="Gadugi"/>
                                </w:rPr>
                                <w:t xml:space="preserve">NWUPC are aware of the current difficulties that Higher Education Institutions are experiencing regarding response rates when tendering for audit services specifically external. As NWUPC lead on the </w:t>
                              </w:r>
                              <w:hyperlink r:id="rId9" w:history="1">
                                <w:r>
                                  <w:rPr>
                                    <w:rStyle w:val="Hyperlink"/>
                                    <w:rFonts w:ascii="Gadugi" w:hAnsi="Gadugi"/>
                                  </w:rPr>
                                  <w:t>Financial Services Framework Agreement</w:t>
                                </w:r>
                              </w:hyperlink>
                              <w:r>
                                <w:rPr>
                                  <w:rFonts w:ascii="Gadugi" w:hAnsi="Gadugi"/>
                                </w:rPr>
                                <w:t xml:space="preserve"> to which External Audit falls within its scope, we want to best support our membership and have therefore put together the below guidance on suggested tips to help to improve engagement with the market and increase the number of responses to tenders received. This piece has been put together following discussions with the </w:t>
                              </w:r>
                              <w:r w:rsidR="002768BD">
                                <w:rPr>
                                  <w:rFonts w:ascii="Gadugi" w:hAnsi="Gadugi"/>
                                </w:rPr>
                                <w:t>s</w:t>
                              </w:r>
                              <w:r>
                                <w:rPr>
                                  <w:rFonts w:ascii="Gadugi" w:hAnsi="Gadugi"/>
                                </w:rPr>
                                <w:t xml:space="preserve">uppliers of the Framework Agreement. </w:t>
                              </w:r>
                            </w:p>
                            <w:p w14:paraId="42258B27" w14:textId="77777777" w:rsidR="00AE3FE0" w:rsidRDefault="00AE3FE0">
                              <w:pPr>
                                <w:pStyle w:val="Heading2"/>
                                <w:jc w:val="center"/>
                                <w:rPr>
                                  <w:rFonts w:ascii="Gadugi" w:hAnsi="Gadugi"/>
                                  <w:b/>
                                  <w:bCs/>
                                  <w:sz w:val="28"/>
                                  <w:szCs w:val="28"/>
                                </w:rPr>
                              </w:pPr>
                              <w:r>
                                <w:rPr>
                                  <w:rFonts w:ascii="Gadugi" w:hAnsi="Gadugi"/>
                                  <w:b/>
                                  <w:bCs/>
                                  <w:sz w:val="28"/>
                                  <w:szCs w:val="28"/>
                                </w:rPr>
                                <w:t>Background</w:t>
                              </w:r>
                            </w:p>
                            <w:p w14:paraId="35584191" w14:textId="77777777" w:rsidR="00AE3FE0" w:rsidRDefault="00AE3FE0">
                              <w:pPr>
                                <w:rPr>
                                  <w:rFonts w:ascii="Gadugi" w:hAnsi="Gadugi"/>
                                </w:rPr>
                              </w:pPr>
                            </w:p>
                            <w:p w14:paraId="15D82ED2" w14:textId="77777777" w:rsidR="00AE3FE0" w:rsidRDefault="00AE3FE0">
                              <w:pPr>
                                <w:rPr>
                                  <w:rFonts w:ascii="Gadugi" w:hAnsi="Gadugi"/>
                                  <w:color w:val="000000" w:themeColor="text1"/>
                                </w:rPr>
                              </w:pPr>
                              <w:r>
                                <w:rPr>
                                  <w:rFonts w:ascii="Gadugi" w:hAnsi="Gadugi"/>
                                  <w:color w:val="000000" w:themeColor="text1"/>
                                </w:rPr>
                                <w:t xml:space="preserve">Many Universities have reported that they have seen a reduced response rate to tenders published, both on and off Framework Agreement, over the past six to twelve months. This is something that is not specific to the NWUPC Framework Agreement but is being seen across the market. Quite often zero to </w:t>
                              </w:r>
                              <w:r>
                                <w:rPr>
                                  <w:rFonts w:ascii="Gadugi" w:eastAsiaTheme="majorEastAsia" w:hAnsi="Gadugi" w:cstheme="majorBidi"/>
                                  <w:color w:val="000000" w:themeColor="text1"/>
                                </w:rPr>
                                <w:t>two</w:t>
                              </w:r>
                              <w:r>
                                <w:rPr>
                                  <w:rFonts w:ascii="Gadugi" w:hAnsi="Gadugi"/>
                                  <w:color w:val="000000" w:themeColor="text1"/>
                                </w:rPr>
                                <w:t xml:space="preserve"> responses are being received. Those that are being received are seeing considerable price increases, this is also the case when repricing with the incumbent. </w:t>
                              </w:r>
                            </w:p>
                            <w:p w14:paraId="2188EB48" w14:textId="77777777" w:rsidR="00AE3FE0" w:rsidRDefault="00AE3FE0">
                              <w:pPr>
                                <w:rPr>
                                  <w:rFonts w:ascii="Gadugi" w:hAnsi="Gadugi"/>
                                </w:rPr>
                              </w:pPr>
                            </w:p>
                            <w:p w14:paraId="1CB6FD74" w14:textId="77777777" w:rsidR="00AE3FE0" w:rsidRDefault="00AE3FE0">
                              <w:pPr>
                                <w:rPr>
                                  <w:rFonts w:ascii="Gadugi" w:eastAsiaTheme="majorEastAsia" w:hAnsi="Gadugi" w:cstheme="majorBidi"/>
                                  <w:b/>
                                  <w:bCs/>
                                  <w:color w:val="2F5496" w:themeColor="accent1" w:themeShade="BF"/>
                                  <w:sz w:val="24"/>
                                  <w:szCs w:val="24"/>
                                </w:rPr>
                              </w:pPr>
                              <w:r>
                                <w:rPr>
                                  <w:rFonts w:ascii="Gadugi" w:eastAsiaTheme="majorEastAsia" w:hAnsi="Gadugi" w:cstheme="majorBidi"/>
                                  <w:b/>
                                  <w:bCs/>
                                  <w:color w:val="2F5496" w:themeColor="accent1" w:themeShade="BF"/>
                                  <w:sz w:val="24"/>
                                  <w:szCs w:val="24"/>
                                </w:rPr>
                                <w:t>The following factors are said to be contributors to the above:</w:t>
                              </w:r>
                            </w:p>
                            <w:p w14:paraId="33260BE1" w14:textId="77777777" w:rsidR="00AE3FE0" w:rsidRDefault="00AE3FE0">
                              <w:pPr>
                                <w:rPr>
                                  <w:rFonts w:ascii="Gadugi" w:hAnsi="Gadugi"/>
                                  <w:b/>
                                  <w:bCs/>
                                </w:rPr>
                              </w:pPr>
                            </w:p>
                            <w:p w14:paraId="55A28E2E" w14:textId="719CDBDF" w:rsidR="00AE3FE0" w:rsidRDefault="00AE3FE0" w:rsidP="008657B8">
                              <w:pPr>
                                <w:pStyle w:val="ListParagraph"/>
                                <w:numPr>
                                  <w:ilvl w:val="0"/>
                                  <w:numId w:val="1"/>
                                </w:numPr>
                                <w:spacing w:after="0" w:line="240" w:lineRule="auto"/>
                                <w:rPr>
                                  <w:rFonts w:ascii="Gadugi" w:hAnsi="Gadugi"/>
                                </w:rPr>
                              </w:pPr>
                              <w:r>
                                <w:rPr>
                                  <w:rFonts w:ascii="Gadugi" w:hAnsi="Gadugi"/>
                                </w:rPr>
                                <w:t xml:space="preserve">Resource Availability – organisations with a public interest such as Higher Education Institutions see an increase in requirements when completing an audit which can cause the audit to be resource heavy. There is also a recognised shortage in auditors in the market which is making it difficult for </w:t>
                              </w:r>
                              <w:r w:rsidR="002768BD">
                                <w:rPr>
                                  <w:rFonts w:ascii="Gadugi" w:hAnsi="Gadugi"/>
                                </w:rPr>
                                <w:t>s</w:t>
                              </w:r>
                              <w:r>
                                <w:rPr>
                                  <w:rFonts w:ascii="Gadugi" w:hAnsi="Gadugi"/>
                                </w:rPr>
                                <w:t xml:space="preserve">uppliers to take on further resource. </w:t>
                              </w:r>
                            </w:p>
                            <w:p w14:paraId="58355393" w14:textId="7C0C87B5" w:rsidR="00AE3FE0" w:rsidRDefault="00AE3FE0" w:rsidP="008657B8">
                              <w:pPr>
                                <w:pStyle w:val="ListParagraph"/>
                                <w:numPr>
                                  <w:ilvl w:val="0"/>
                                  <w:numId w:val="1"/>
                                </w:numPr>
                                <w:spacing w:after="0" w:line="240" w:lineRule="auto"/>
                                <w:rPr>
                                  <w:rFonts w:ascii="Gadugi" w:hAnsi="Gadugi"/>
                                </w:rPr>
                              </w:pPr>
                              <w:r>
                                <w:rPr>
                                  <w:rFonts w:ascii="Gadugi" w:hAnsi="Gadugi"/>
                                </w:rPr>
                                <w:t xml:space="preserve">Reputation Consideration – Some </w:t>
                              </w:r>
                              <w:r w:rsidR="002768BD">
                                <w:rPr>
                                  <w:rFonts w:ascii="Gadugi" w:hAnsi="Gadugi"/>
                                </w:rPr>
                                <w:t>a</w:t>
                              </w:r>
                              <w:r>
                                <w:rPr>
                                  <w:rFonts w:ascii="Gadugi" w:hAnsi="Gadugi"/>
                                </w:rPr>
                                <w:t xml:space="preserve">uditors are becoming more critical when deciding when to bid due to potential impacts to reputation when working with high profile customers. </w:t>
                              </w:r>
                            </w:p>
                            <w:p w14:paraId="10D41894" w14:textId="0B4E1F2B" w:rsidR="00AE3FE0" w:rsidRDefault="00AE3FE0" w:rsidP="008657B8">
                              <w:pPr>
                                <w:pStyle w:val="ListParagraph"/>
                                <w:numPr>
                                  <w:ilvl w:val="0"/>
                                  <w:numId w:val="1"/>
                                </w:numPr>
                                <w:spacing w:after="0" w:line="240" w:lineRule="auto"/>
                                <w:rPr>
                                  <w:rFonts w:ascii="Gadugi" w:hAnsi="Gadugi"/>
                                </w:rPr>
                              </w:pPr>
                              <w:r>
                                <w:rPr>
                                  <w:rFonts w:ascii="Gadugi" w:hAnsi="Gadugi"/>
                                </w:rPr>
                                <w:t xml:space="preserve">Conflicts of Interest/Firm Independence – restrictions on audit conflict mean that when a firm is employed on other non-audit work such as advisory it can mean that these firms are then unable to tender for audit work. This therefore reduces the number of firms that can respond. This can lead to </w:t>
                              </w:r>
                              <w:r w:rsidR="002768BD">
                                <w:rPr>
                                  <w:rFonts w:ascii="Gadugi" w:hAnsi="Gadugi"/>
                                </w:rPr>
                                <w:t>s</w:t>
                              </w:r>
                              <w:r>
                                <w:rPr>
                                  <w:rFonts w:ascii="Gadugi" w:hAnsi="Gadugi"/>
                                </w:rPr>
                                <w:t xml:space="preserve">uppliers deciding whether to tender for audit or non-audit work, the latter can be more lucrative currently. </w:t>
                              </w:r>
                            </w:p>
                            <w:p w14:paraId="33BFA801" w14:textId="77777777" w:rsidR="00AE3FE0" w:rsidRDefault="00AE3FE0" w:rsidP="008657B8">
                              <w:pPr>
                                <w:pStyle w:val="ListParagraph"/>
                                <w:numPr>
                                  <w:ilvl w:val="0"/>
                                  <w:numId w:val="1"/>
                                </w:numPr>
                                <w:spacing w:after="0" w:line="240" w:lineRule="auto"/>
                                <w:rPr>
                                  <w:rFonts w:ascii="Gadugi" w:hAnsi="Gadugi"/>
                                </w:rPr>
                              </w:pPr>
                              <w:r>
                                <w:rPr>
                                  <w:rFonts w:ascii="Gadugi" w:hAnsi="Gadugi"/>
                                </w:rPr>
                                <w:t xml:space="preserve">Audit Complexity – those with Public Interest Entity status and public sector bodies can require more complex audits and extra specialist time that can increase the costs and time associated with completing their audits which can cause escalating fees to Institutions. </w:t>
                              </w:r>
                            </w:p>
                            <w:p w14:paraId="52D82103" w14:textId="38805D9B" w:rsidR="00AE3FE0" w:rsidRPr="00AE3FE0" w:rsidRDefault="00AE3FE0" w:rsidP="00367062">
                              <w:pPr>
                                <w:pStyle w:val="ListParagraph"/>
                                <w:numPr>
                                  <w:ilvl w:val="0"/>
                                  <w:numId w:val="1"/>
                                </w:numPr>
                                <w:spacing w:after="0" w:line="240" w:lineRule="auto"/>
                                <w:rPr>
                                  <w:rFonts w:ascii="Gadugi" w:hAnsi="Gadugi"/>
                                </w:rPr>
                              </w:pPr>
                              <w:r w:rsidRPr="00AE3FE0">
                                <w:rPr>
                                  <w:rFonts w:ascii="Gadugi" w:hAnsi="Gadugi"/>
                                </w:rPr>
                                <w:t>BEIS Consultation – consultation is currently taking place on audit and governance reform, a suggestion is to increase the number of organisations that are designated as a PIE (Public Interest Entity) – including a range of HE Institutions, if this is decided it could impact the audit market. Some who are an auditor to a PIE may be excluded from other work too and auditing more PIE’s could reduce the capacity that they have to audit smaller institutions in the long run.</w:t>
                              </w:r>
                            </w:p>
                            <w:p w14:paraId="3157E5D9" w14:textId="77777777" w:rsidR="00AE3FE0" w:rsidRPr="00AE3FE0" w:rsidRDefault="00AE3FE0" w:rsidP="00AE3FE0">
                              <w:pPr>
                                <w:rPr>
                                  <w:rFonts w:ascii="Gadugi" w:hAnsi="Gadugi"/>
                                </w:rPr>
                              </w:pPr>
                            </w:p>
                            <w:p w14:paraId="043281FD" w14:textId="77777777" w:rsidR="00AE3FE0" w:rsidRDefault="00AE3FE0" w:rsidP="00AE3FE0">
                              <w:pPr>
                                <w:rPr>
                                  <w:rFonts w:ascii="Gadugi" w:hAnsi="Gadugi"/>
                                  <w:sz w:val="24"/>
                                  <w:szCs w:val="24"/>
                                </w:rPr>
                              </w:pPr>
                              <w:r>
                                <w:rPr>
                                  <w:rFonts w:ascii="Gadugi" w:hAnsi="Gadugi"/>
                                  <w:noProof/>
                                  <w:sz w:val="24"/>
                                  <w:szCs w:val="24"/>
                                </w:rPr>
                                <w:lastRenderedPageBreak/>
                                <w:drawing>
                                  <wp:inline distT="0" distB="0" distL="0" distR="0" wp14:anchorId="20B1743E" wp14:editId="52C5443E">
                                    <wp:extent cx="1933575" cy="981075"/>
                                    <wp:effectExtent l="0" t="0" r="9525" b="952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981075"/>
                                            </a:xfrm>
                                            <a:prstGeom prst="rect">
                                              <a:avLst/>
                                            </a:prstGeom>
                                            <a:noFill/>
                                            <a:ln>
                                              <a:noFill/>
                                            </a:ln>
                                          </pic:spPr>
                                        </pic:pic>
                                      </a:graphicData>
                                    </a:graphic>
                                  </wp:inline>
                                </w:drawing>
                              </w:r>
                              <w:r>
                                <w:rPr>
                                  <w:rFonts w:ascii="Gadugi" w:hAnsi="Gadugi"/>
                                  <w:sz w:val="24"/>
                                  <w:szCs w:val="24"/>
                                </w:rPr>
                                <w:t xml:space="preserve">                                </w:t>
                              </w:r>
                              <w:r>
                                <w:rPr>
                                  <w:rFonts w:ascii="Gadugi" w:hAnsi="Gadugi"/>
                                  <w:noProof/>
                                  <w:sz w:val="24"/>
                                  <w:szCs w:val="24"/>
                                </w:rPr>
                                <w:drawing>
                                  <wp:inline distT="0" distB="0" distL="0" distR="0" wp14:anchorId="74D7D091" wp14:editId="166946E9">
                                    <wp:extent cx="1990725" cy="990600"/>
                                    <wp:effectExtent l="0" t="0" r="9525" b="0"/>
                                    <wp:docPr id="4" name="Picture 4"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990600"/>
                                            </a:xfrm>
                                            <a:prstGeom prst="rect">
                                              <a:avLst/>
                                            </a:prstGeom>
                                            <a:noFill/>
                                            <a:ln>
                                              <a:noFill/>
                                            </a:ln>
                                          </pic:spPr>
                                        </pic:pic>
                                      </a:graphicData>
                                    </a:graphic>
                                  </wp:inline>
                                </w:drawing>
                              </w:r>
                            </w:p>
                            <w:p w14:paraId="1174F178" w14:textId="77777777" w:rsidR="00AE3FE0" w:rsidRDefault="00AE3FE0">
                              <w:pPr>
                                <w:pStyle w:val="Heading2"/>
                                <w:jc w:val="center"/>
                                <w:rPr>
                                  <w:rFonts w:ascii="Gadugi" w:hAnsi="Gadugi"/>
                                  <w:b/>
                                  <w:bCs/>
                                  <w:sz w:val="28"/>
                                  <w:szCs w:val="28"/>
                                </w:rPr>
                              </w:pPr>
                            </w:p>
                            <w:p w14:paraId="487761C2" w14:textId="4E603BD8" w:rsidR="00AE3FE0" w:rsidRDefault="00AE3FE0">
                              <w:pPr>
                                <w:pStyle w:val="Heading2"/>
                                <w:jc w:val="center"/>
                                <w:rPr>
                                  <w:rFonts w:ascii="Gadugi" w:hAnsi="Gadugi"/>
                                  <w:b/>
                                  <w:bCs/>
                                  <w:sz w:val="28"/>
                                  <w:szCs w:val="28"/>
                                </w:rPr>
                              </w:pPr>
                              <w:r>
                                <w:rPr>
                                  <w:rFonts w:ascii="Gadugi" w:hAnsi="Gadugi"/>
                                  <w:b/>
                                  <w:bCs/>
                                  <w:sz w:val="28"/>
                                  <w:szCs w:val="28"/>
                                </w:rPr>
                                <w:t>Tendering Tips</w:t>
                              </w:r>
                            </w:p>
                            <w:p w14:paraId="26EE1802" w14:textId="77777777" w:rsidR="00AE3FE0" w:rsidRDefault="00AE3FE0">
                              <w:pPr>
                                <w:rPr>
                                  <w:rFonts w:ascii="Gadugi" w:hAnsi="Gadugi"/>
                                </w:rPr>
                              </w:pPr>
                            </w:p>
                            <w:p w14:paraId="171BD7FA" w14:textId="79659A1A" w:rsidR="00AE3FE0" w:rsidRDefault="00AE3FE0" w:rsidP="008657B8">
                              <w:pPr>
                                <w:pStyle w:val="ListParagraph"/>
                                <w:numPr>
                                  <w:ilvl w:val="0"/>
                                  <w:numId w:val="2"/>
                                </w:numPr>
                                <w:rPr>
                                  <w:rFonts w:ascii="Gadugi" w:hAnsi="Gadugi"/>
                                </w:rPr>
                              </w:pPr>
                              <w:r>
                                <w:rPr>
                                  <w:rFonts w:ascii="Gadugi" w:hAnsi="Gadugi"/>
                                  <w:b/>
                                  <w:bCs/>
                                </w:rPr>
                                <w:t>Early Engagement –</w:t>
                              </w:r>
                              <w:r>
                                <w:rPr>
                                  <w:rFonts w:ascii="Gadugi" w:hAnsi="Gadugi"/>
                                </w:rPr>
                                <w:t xml:space="preserve"> engaging with the </w:t>
                              </w:r>
                              <w:r w:rsidR="002768BD">
                                <w:rPr>
                                  <w:rFonts w:ascii="Gadugi" w:hAnsi="Gadugi"/>
                                </w:rPr>
                                <w:t>s</w:t>
                              </w:r>
                              <w:r>
                                <w:rPr>
                                  <w:rFonts w:ascii="Gadugi" w:hAnsi="Gadugi"/>
                                </w:rPr>
                                <w:t xml:space="preserve">uppliers as early as possible to give an idea of the requirements to be met so that resource can be managed in advance. It is recommended that </w:t>
                              </w:r>
                              <w:r w:rsidR="002768BD">
                                <w:rPr>
                                  <w:rFonts w:ascii="Gadugi" w:hAnsi="Gadugi"/>
                                </w:rPr>
                                <w:t>s</w:t>
                              </w:r>
                              <w:r>
                                <w:rPr>
                                  <w:rFonts w:ascii="Gadugi" w:hAnsi="Gadugi"/>
                                </w:rPr>
                                <w:t>uppliers are asked at this point their likelihood to bid and reasoning if no</w:t>
                              </w:r>
                              <w:r w:rsidR="002768BD">
                                <w:rPr>
                                  <w:rFonts w:ascii="Gadugi" w:hAnsi="Gadugi"/>
                                </w:rPr>
                                <w:t>t</w:t>
                              </w:r>
                              <w:r>
                                <w:rPr>
                                  <w:rFonts w:ascii="Gadugi" w:hAnsi="Gadugi"/>
                                </w:rPr>
                                <w:t xml:space="preserve"> in order to manage resource and expectations. </w:t>
                              </w:r>
                            </w:p>
                            <w:p w14:paraId="22393DBB" w14:textId="49D5C597" w:rsidR="00AE3FE0" w:rsidRDefault="00AE3FE0" w:rsidP="008657B8">
                              <w:pPr>
                                <w:pStyle w:val="ListParagraph"/>
                                <w:numPr>
                                  <w:ilvl w:val="0"/>
                                  <w:numId w:val="2"/>
                                </w:numPr>
                                <w:rPr>
                                  <w:rFonts w:ascii="Gadugi" w:hAnsi="Gadugi"/>
                                </w:rPr>
                              </w:pPr>
                              <w:r>
                                <w:rPr>
                                  <w:rFonts w:ascii="Gadugi" w:hAnsi="Gadugi"/>
                                  <w:b/>
                                  <w:bCs/>
                                </w:rPr>
                                <w:t>Supplier Engagement -</w:t>
                              </w:r>
                              <w:r>
                                <w:rPr>
                                  <w:rFonts w:ascii="Gadugi" w:hAnsi="Gadugi"/>
                                </w:rPr>
                                <w:t xml:space="preserve"> suppliers have stated that it would help to have conversations with Members in advance to better understand the requirements, although this can be difficult to manage and ensure equal treatment and transparency, a way to overcome this could be to hold an open Webinar or open Q and A that is shared with all </w:t>
                              </w:r>
                              <w:r w:rsidR="002768BD">
                                <w:rPr>
                                  <w:rFonts w:ascii="Gadugi" w:hAnsi="Gadugi"/>
                                </w:rPr>
                                <w:t>s</w:t>
                              </w:r>
                              <w:r>
                                <w:rPr>
                                  <w:rFonts w:ascii="Gadugi" w:hAnsi="Gadugi"/>
                                </w:rPr>
                                <w:t xml:space="preserve">uppliers to provide further background to the requirement.  </w:t>
                              </w:r>
                            </w:p>
                            <w:p w14:paraId="0901F359" w14:textId="290A0C4C" w:rsidR="00AE3FE0" w:rsidRDefault="00AE3FE0" w:rsidP="008657B8">
                              <w:pPr>
                                <w:pStyle w:val="ListParagraph"/>
                                <w:numPr>
                                  <w:ilvl w:val="0"/>
                                  <w:numId w:val="2"/>
                                </w:numPr>
                                <w:rPr>
                                  <w:rFonts w:ascii="Gadugi" w:hAnsi="Gadugi"/>
                                </w:rPr>
                              </w:pPr>
                              <w:r>
                                <w:rPr>
                                  <w:rFonts w:ascii="Gadugi" w:hAnsi="Gadugi"/>
                                  <w:b/>
                                  <w:bCs/>
                                </w:rPr>
                                <w:t>Award in Advance –</w:t>
                              </w:r>
                              <w:r>
                                <w:rPr>
                                  <w:rFonts w:ascii="Gadugi" w:hAnsi="Gadugi"/>
                                </w:rPr>
                                <w:t xml:space="preserve"> allow sufficient time between the award and commencement of the work so that resource can be available and the likelihood of the </w:t>
                              </w:r>
                              <w:r w:rsidR="002768BD">
                                <w:rPr>
                                  <w:rFonts w:ascii="Gadugi" w:hAnsi="Gadugi"/>
                                </w:rPr>
                                <w:t>s</w:t>
                              </w:r>
                              <w:r>
                                <w:rPr>
                                  <w:rFonts w:ascii="Gadugi" w:hAnsi="Gadugi"/>
                                </w:rPr>
                                <w:t xml:space="preserve">upplier having the capacity to complete the works is increased. </w:t>
                              </w:r>
                            </w:p>
                            <w:p w14:paraId="2AE14A97" w14:textId="60833F78" w:rsidR="00AE3FE0" w:rsidRPr="00C37316" w:rsidRDefault="00AE3FE0" w:rsidP="002768BD">
                              <w:pPr>
                                <w:pStyle w:val="ListParagraph"/>
                                <w:numPr>
                                  <w:ilvl w:val="0"/>
                                  <w:numId w:val="2"/>
                                </w:numPr>
                                <w:rPr>
                                  <w:rFonts w:ascii="Gadugi" w:hAnsi="Gadugi"/>
                                </w:rPr>
                              </w:pPr>
                              <w:r w:rsidRPr="00C37316">
                                <w:rPr>
                                  <w:rFonts w:ascii="Gadugi" w:hAnsi="Gadugi"/>
                                  <w:b/>
                                  <w:bCs/>
                                </w:rPr>
                                <w:t>Sufficient Tender Publication Time</w:t>
                              </w:r>
                              <w:r>
                                <w:rPr>
                                  <w:rFonts w:ascii="Gadugi" w:hAnsi="Gadugi"/>
                                </w:rPr>
                                <w:t xml:space="preserve"> - allow for sufficient time on publication of the tender, if you are able to extend the time that the tender is open to </w:t>
                              </w:r>
                              <w:r w:rsidR="002768BD">
                                <w:rPr>
                                  <w:rFonts w:ascii="Gadugi" w:hAnsi="Gadugi"/>
                                </w:rPr>
                                <w:t>s</w:t>
                              </w:r>
                              <w:r>
                                <w:rPr>
                                  <w:rFonts w:ascii="Gadugi" w:hAnsi="Gadugi"/>
                                </w:rPr>
                                <w:t>uppliers this may improve the response quality and also response rate</w:t>
                              </w:r>
                              <w:r w:rsidR="002768BD">
                                <w:rPr>
                                  <w:rFonts w:ascii="Gadugi" w:hAnsi="Gadugi"/>
                                </w:rPr>
                                <w:t>.</w:t>
                              </w:r>
                              <w:r w:rsidRPr="00C37316">
                                <w:rPr>
                                  <w:rFonts w:ascii="Gadugi" w:hAnsi="Gadugi"/>
                                </w:rPr>
                                <w:t xml:space="preserve"> </w:t>
                              </w:r>
                              <w:r w:rsidR="002768BD">
                                <w:rPr>
                                  <w:rFonts w:ascii="Gadugi" w:hAnsi="Gadugi"/>
                                </w:rPr>
                                <w:t>T</w:t>
                              </w:r>
                              <w:r w:rsidRPr="00C37316">
                                <w:rPr>
                                  <w:rFonts w:ascii="Gadugi" w:hAnsi="Gadugi"/>
                                </w:rPr>
                                <w:t xml:space="preserve">here is no minimum or maximum time if it is a mini competition that it must be out to </w:t>
                              </w:r>
                              <w:r w:rsidR="002768BD">
                                <w:rPr>
                                  <w:rFonts w:ascii="Gadugi" w:hAnsi="Gadugi"/>
                                </w:rPr>
                                <w:t>s</w:t>
                              </w:r>
                              <w:r w:rsidRPr="00C37316">
                                <w:rPr>
                                  <w:rFonts w:ascii="Gadugi" w:hAnsi="Gadugi"/>
                                </w:rPr>
                                <w:t xml:space="preserve">uppliers however it must be proportionate. </w:t>
                              </w:r>
                            </w:p>
                            <w:p w14:paraId="1FF7519B" w14:textId="2626D432" w:rsidR="00AE3FE0" w:rsidRDefault="00AE3FE0" w:rsidP="008657B8">
                              <w:pPr>
                                <w:pStyle w:val="ListParagraph"/>
                                <w:numPr>
                                  <w:ilvl w:val="0"/>
                                  <w:numId w:val="2"/>
                                </w:numPr>
                                <w:rPr>
                                  <w:rFonts w:ascii="Gadugi" w:hAnsi="Gadugi"/>
                                </w:rPr>
                              </w:pPr>
                              <w:r>
                                <w:rPr>
                                  <w:rFonts w:ascii="Gadugi" w:hAnsi="Gadugi"/>
                                  <w:b/>
                                  <w:bCs/>
                                </w:rPr>
                                <w:t>Timings on Tender Publication –</w:t>
                              </w:r>
                              <w:r>
                                <w:rPr>
                                  <w:rFonts w:ascii="Gadugi" w:hAnsi="Gadugi"/>
                                </w:rPr>
                                <w:t xml:space="preserve"> September to November is often the time when Higher Education Institutions are in the audit process therefore representatives who would usually be part of the bid process may be occupied with the auditing which may mean that the </w:t>
                              </w:r>
                              <w:r w:rsidR="002768BD">
                                <w:rPr>
                                  <w:rFonts w:ascii="Gadugi" w:hAnsi="Gadugi"/>
                                </w:rPr>
                                <w:t>s</w:t>
                              </w:r>
                              <w:r>
                                <w:rPr>
                                  <w:rFonts w:ascii="Gadugi" w:hAnsi="Gadugi"/>
                                </w:rPr>
                                <w:t xml:space="preserve">upplier is unable to bid at that time. Please note that May is also a busy time due to audits in the Health sector. </w:t>
                              </w:r>
                            </w:p>
                            <w:p w14:paraId="6E027D79" w14:textId="3F1D1F95" w:rsidR="00AE3FE0" w:rsidRDefault="00AE3FE0" w:rsidP="008657B8">
                              <w:pPr>
                                <w:pStyle w:val="ListParagraph"/>
                                <w:numPr>
                                  <w:ilvl w:val="0"/>
                                  <w:numId w:val="2"/>
                                </w:numPr>
                                <w:rPr>
                                  <w:rFonts w:ascii="Gadugi" w:hAnsi="Gadugi"/>
                                </w:rPr>
                              </w:pPr>
                              <w:r>
                                <w:rPr>
                                  <w:rFonts w:ascii="Gadugi" w:hAnsi="Gadugi"/>
                                  <w:b/>
                                  <w:bCs/>
                                </w:rPr>
                                <w:t>Tender Pricing -</w:t>
                              </w:r>
                              <w:r>
                                <w:rPr>
                                  <w:rFonts w:ascii="Gadugi" w:hAnsi="Gadugi"/>
                                </w:rPr>
                                <w:t xml:space="preserve"> when evaluating consider the full picture of the total audit cost, at framework stage day rates were evaluated due to a specific requirement bring difficult to price for. However</w:t>
                              </w:r>
                              <w:r w:rsidR="002768BD">
                                <w:rPr>
                                  <w:rFonts w:ascii="Gadugi" w:hAnsi="Gadugi"/>
                                </w:rPr>
                                <w:t>, it is recommended to</w:t>
                              </w:r>
                              <w:r>
                                <w:rPr>
                                  <w:rFonts w:ascii="Gadugi" w:hAnsi="Gadugi"/>
                                </w:rPr>
                                <w:t xml:space="preserve"> consider both day rates and number of days to complete the audit. </w:t>
                              </w:r>
                            </w:p>
                            <w:p w14:paraId="709486D0" w14:textId="5DA7146E" w:rsidR="00AE3FE0" w:rsidRDefault="00AE3FE0" w:rsidP="008657B8">
                              <w:pPr>
                                <w:pStyle w:val="ListParagraph"/>
                                <w:numPr>
                                  <w:ilvl w:val="0"/>
                                  <w:numId w:val="2"/>
                                </w:numPr>
                                <w:rPr>
                                  <w:rFonts w:ascii="Gadugi" w:hAnsi="Gadugi"/>
                                </w:rPr>
                              </w:pPr>
                              <w:r>
                                <w:rPr>
                                  <w:rFonts w:ascii="Gadugi" w:hAnsi="Gadugi"/>
                                  <w:b/>
                                  <w:bCs/>
                                </w:rPr>
                                <w:t>Higher Education Experience –</w:t>
                              </w:r>
                              <w:r>
                                <w:rPr>
                                  <w:rFonts w:ascii="Gadugi" w:hAnsi="Gadugi"/>
                                </w:rPr>
                                <w:t xml:space="preserve"> although those awarded to the NWUPC agreement all have experience within the HE sector, when evaluating and putting high weightings focused on the sector experience the </w:t>
                              </w:r>
                              <w:r w:rsidR="002768BD">
                                <w:rPr>
                                  <w:rFonts w:ascii="Gadugi" w:hAnsi="Gadugi"/>
                                </w:rPr>
                                <w:t>s</w:t>
                              </w:r>
                              <w:r>
                                <w:rPr>
                                  <w:rFonts w:ascii="Gadugi" w:hAnsi="Gadugi"/>
                                </w:rPr>
                                <w:t>upplier has it can be off putting to those with less or no HE experience as the chance of being successful is low in comparison to the time and resource needed to bid. It is therefore recommended that these questions at this time are kept to a minimum or experience is evaluat</w:t>
                              </w:r>
                              <w:r w:rsidR="002768BD">
                                <w:rPr>
                                  <w:rFonts w:ascii="Gadugi" w:hAnsi="Gadugi"/>
                                </w:rPr>
                                <w:t>ed</w:t>
                              </w:r>
                              <w:r>
                                <w:rPr>
                                  <w:rFonts w:ascii="Gadugi" w:hAnsi="Gadugi"/>
                                </w:rPr>
                                <w:t xml:space="preserve"> in other ways to not further block the amount of bidders who are likely to respond. </w:t>
                              </w:r>
                            </w:p>
                            <w:p w14:paraId="0D04BD25" w14:textId="77777777" w:rsidR="00AE3FE0" w:rsidRDefault="00AE3FE0">
                              <w:pPr>
                                <w:rPr>
                                  <w:rFonts w:ascii="Gadugi" w:hAnsi="Gadugi"/>
                                </w:rPr>
                              </w:pPr>
                              <w:r>
                                <w:rPr>
                                  <w:rFonts w:ascii="Gadugi" w:hAnsi="Gadugi"/>
                                </w:rPr>
                                <w:t xml:space="preserve">For further information on the above agreement please see the following link to </w:t>
                              </w:r>
                              <w:hyperlink r:id="rId10" w:history="1">
                                <w:r>
                                  <w:rPr>
                                    <w:rStyle w:val="Hyperlink"/>
                                    <w:rFonts w:ascii="Gadugi" w:hAnsi="Gadugi"/>
                                  </w:rPr>
                                  <w:t>HE Contracts</w:t>
                                </w:r>
                              </w:hyperlink>
                              <w:r>
                                <w:rPr>
                                  <w:rFonts w:ascii="Gadugi" w:hAnsi="Gadugi"/>
                                </w:rPr>
                                <w:t xml:space="preserve">. You can also contact </w:t>
                              </w:r>
                              <w:hyperlink r:id="rId11" w:history="1">
                                <w:r>
                                  <w:rPr>
                                    <w:rStyle w:val="Hyperlink"/>
                                    <w:rFonts w:ascii="Gadugi" w:hAnsi="Gadugi"/>
                                  </w:rPr>
                                  <w:t>Natasha Peacock</w:t>
                                </w:r>
                              </w:hyperlink>
                              <w:r>
                                <w:rPr>
                                  <w:rFonts w:ascii="Gadugi" w:hAnsi="Gadugi"/>
                                </w:rPr>
                                <w:t>, NWUPC’s Professional Services Category Manager or call on 0161 800 8003.</w:t>
                              </w:r>
                            </w:p>
                            <w:p w14:paraId="105958DE" w14:textId="3C46223A" w:rsidR="00AE3FE0" w:rsidRDefault="00AE3FE0">
                              <w:pPr>
                                <w:jc w:val="center"/>
                                <w:rPr>
                                  <w:rFonts w:ascii="Gadugi" w:hAnsi="Gadugi"/>
                                  <w:sz w:val="24"/>
                                  <w:szCs w:val="24"/>
                                </w:rPr>
                              </w:pPr>
                            </w:p>
                          </w:tc>
                        </w:tr>
                        <w:tr w:rsidR="00AE3FE0" w14:paraId="1769DED8" w14:textId="77777777">
                          <w:trPr>
                            <w:trHeight w:val="57"/>
                          </w:trPr>
                          <w:tc>
                            <w:tcPr>
                              <w:tcW w:w="5000" w:type="pct"/>
                              <w:tcMar>
                                <w:top w:w="225" w:type="dxa"/>
                                <w:left w:w="150" w:type="dxa"/>
                                <w:bottom w:w="225" w:type="dxa"/>
                                <w:right w:w="150" w:type="dxa"/>
                              </w:tcMar>
                              <w:hideMark/>
                            </w:tcPr>
                            <w:tbl>
                              <w:tblPr>
                                <w:tblW w:w="4998" w:type="pct"/>
                                <w:jc w:val="center"/>
                                <w:tblCellMar>
                                  <w:left w:w="0" w:type="dxa"/>
                                  <w:right w:w="0" w:type="dxa"/>
                                </w:tblCellMar>
                                <w:tblLook w:val="04A0" w:firstRow="1" w:lastRow="0" w:firstColumn="1" w:lastColumn="0" w:noHBand="0" w:noVBand="1"/>
                              </w:tblPr>
                              <w:tblGrid>
                                <w:gridCol w:w="8355"/>
                              </w:tblGrid>
                              <w:tr w:rsidR="00AE3FE0" w14:paraId="547F144A" w14:textId="77777777">
                                <w:trPr>
                                  <w:jc w:val="center"/>
                                </w:trPr>
                                <w:tc>
                                  <w:tcPr>
                                    <w:tcW w:w="0" w:type="auto"/>
                                    <w:tcBorders>
                                      <w:top w:val="single" w:sz="12" w:space="0" w:color="70AD47"/>
                                      <w:left w:val="nil"/>
                                      <w:bottom w:val="nil"/>
                                      <w:right w:val="nil"/>
                                    </w:tcBorders>
                                    <w:hideMark/>
                                  </w:tcPr>
                                  <w:p w14:paraId="40068091" w14:textId="77777777" w:rsidR="00AE3FE0" w:rsidRDefault="00AE3FE0">
                                    <w:pPr>
                                      <w:rPr>
                                        <w:rFonts w:ascii="Gadugi" w:hAnsi="Gadugi"/>
                                        <w:sz w:val="24"/>
                                        <w:szCs w:val="24"/>
                                      </w:rPr>
                                    </w:pPr>
                                  </w:p>
                                </w:tc>
                              </w:tr>
                            </w:tbl>
                            <w:p w14:paraId="2A3A3E04" w14:textId="77777777" w:rsidR="00AE3FE0" w:rsidRDefault="00AE3FE0">
                              <w:pPr>
                                <w:jc w:val="center"/>
                                <w:rPr>
                                  <w:rFonts w:ascii="Times New Roman" w:eastAsia="Times New Roman" w:hAnsi="Times New Roman" w:cs="Times New Roman"/>
                                  <w:sz w:val="20"/>
                                  <w:szCs w:val="20"/>
                                  <w:lang w:eastAsia="en-GB"/>
                                </w:rPr>
                              </w:pPr>
                            </w:p>
                          </w:tc>
                        </w:tr>
                      </w:tbl>
                      <w:p w14:paraId="5396D192" w14:textId="77777777" w:rsidR="00AE3FE0" w:rsidRDefault="00AE3FE0">
                        <w:pPr>
                          <w:rPr>
                            <w:rFonts w:ascii="Times New Roman" w:eastAsia="Times New Roman" w:hAnsi="Times New Roman" w:cs="Times New Roman"/>
                            <w:sz w:val="20"/>
                            <w:szCs w:val="20"/>
                            <w:lang w:eastAsia="en-GB"/>
                          </w:rPr>
                        </w:pPr>
                      </w:p>
                    </w:tc>
                  </w:tr>
                </w:tbl>
                <w:p w14:paraId="06981A7E" w14:textId="77777777" w:rsidR="00AE3FE0" w:rsidRDefault="00AE3FE0">
                  <w:pPr>
                    <w:jc w:val="center"/>
                    <w:rPr>
                      <w:rFonts w:ascii="Times New Roman" w:eastAsia="Times New Roman" w:hAnsi="Times New Roman" w:cs="Times New Roman"/>
                      <w:sz w:val="20"/>
                      <w:szCs w:val="20"/>
                      <w:lang w:eastAsia="en-GB"/>
                    </w:rPr>
                  </w:pPr>
                </w:p>
              </w:tc>
            </w:tr>
          </w:tbl>
          <w:p w14:paraId="04829178" w14:textId="77777777" w:rsidR="00AE3FE0" w:rsidRDefault="00AE3FE0">
            <w:pPr>
              <w:jc w:val="center"/>
              <w:rPr>
                <w:rFonts w:ascii="Times New Roman" w:eastAsia="Times New Roman" w:hAnsi="Times New Roman" w:cs="Times New Roman"/>
                <w:sz w:val="20"/>
                <w:szCs w:val="20"/>
                <w:lang w:eastAsia="en-GB"/>
              </w:rPr>
            </w:pPr>
          </w:p>
        </w:tc>
      </w:tr>
      <w:bookmarkEnd w:id="0"/>
    </w:tbl>
    <w:p w14:paraId="118DD290" w14:textId="77777777" w:rsidR="009E29E8" w:rsidRDefault="00C37316" w:rsidP="00AE3FE0"/>
    <w:sectPr w:rsidR="009E29E8" w:rsidSect="00AE3FE0">
      <w:pgSz w:w="11906" w:h="16838"/>
      <w:pgMar w:top="153" w:right="720" w:bottom="153" w:left="720" w:header="5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DA48E" w14:textId="77777777" w:rsidR="00AE3FE0" w:rsidRDefault="00AE3FE0" w:rsidP="00AE3FE0">
      <w:r>
        <w:separator/>
      </w:r>
    </w:p>
  </w:endnote>
  <w:endnote w:type="continuationSeparator" w:id="0">
    <w:p w14:paraId="7381F524" w14:textId="77777777" w:rsidR="00AE3FE0" w:rsidRDefault="00AE3FE0" w:rsidP="00AE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68ED4" w14:textId="77777777" w:rsidR="00AE3FE0" w:rsidRDefault="00AE3FE0" w:rsidP="00AE3FE0">
      <w:r>
        <w:separator/>
      </w:r>
    </w:p>
  </w:footnote>
  <w:footnote w:type="continuationSeparator" w:id="0">
    <w:p w14:paraId="0B013A4D" w14:textId="77777777" w:rsidR="00AE3FE0" w:rsidRDefault="00AE3FE0" w:rsidP="00AE3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65113"/>
    <w:multiLevelType w:val="hybridMultilevel"/>
    <w:tmpl w:val="14C8A716"/>
    <w:lvl w:ilvl="0" w:tplc="AB488390">
      <w:start w:val="1"/>
      <w:numFmt w:val="decimal"/>
      <w:lvlText w:val="%1."/>
      <w:lvlJc w:val="left"/>
      <w:pPr>
        <w:ind w:left="360" w:hanging="360"/>
      </w:pPr>
      <w:rPr>
        <w:b/>
        <w:bCs/>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769D3905"/>
    <w:multiLevelType w:val="hybridMultilevel"/>
    <w:tmpl w:val="7592E8B8"/>
    <w:lvl w:ilvl="0" w:tplc="0636AFDE">
      <w:start w:val="1"/>
      <w:numFmt w:val="bullet"/>
      <w:lvlText w:val=""/>
      <w:lvlJc w:val="left"/>
      <w:pPr>
        <w:ind w:left="360" w:hanging="360"/>
      </w:pPr>
      <w:rPr>
        <w:rFonts w:ascii="Symbol" w:eastAsiaTheme="minorHAnsi" w:hAnsi="Symbol"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E0"/>
    <w:rsid w:val="002768BD"/>
    <w:rsid w:val="005F1A17"/>
    <w:rsid w:val="007B02A6"/>
    <w:rsid w:val="0098301F"/>
    <w:rsid w:val="00AE3FE0"/>
    <w:rsid w:val="00C37316"/>
    <w:rsid w:val="00EC0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4D6BC"/>
  <w15:chartTrackingRefBased/>
  <w15:docId w15:val="{D6F2E5A9-4C8A-4B68-AFF7-3EA411F5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FE0"/>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AE3FE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3FE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AE3FE0"/>
    <w:rPr>
      <w:color w:val="0563C1"/>
      <w:u w:val="single"/>
    </w:rPr>
  </w:style>
  <w:style w:type="paragraph" w:styleId="NormalWeb">
    <w:name w:val="Normal (Web)"/>
    <w:basedOn w:val="Normal"/>
    <w:uiPriority w:val="99"/>
    <w:semiHidden/>
    <w:unhideWhenUsed/>
    <w:rsid w:val="00AE3FE0"/>
    <w:pPr>
      <w:spacing w:before="100" w:beforeAutospacing="1" w:after="100" w:afterAutospacing="1"/>
    </w:pPr>
    <w:rPr>
      <w:lang w:eastAsia="en-GB"/>
    </w:rPr>
  </w:style>
  <w:style w:type="paragraph" w:styleId="ListParagraph">
    <w:name w:val="List Paragraph"/>
    <w:basedOn w:val="Normal"/>
    <w:uiPriority w:val="34"/>
    <w:qFormat/>
    <w:rsid w:val="00AE3FE0"/>
    <w:pPr>
      <w:spacing w:after="160" w:line="252" w:lineRule="auto"/>
      <w:ind w:left="720"/>
      <w:contextualSpacing/>
    </w:pPr>
  </w:style>
  <w:style w:type="paragraph" w:styleId="Header">
    <w:name w:val="header"/>
    <w:basedOn w:val="Normal"/>
    <w:link w:val="HeaderChar"/>
    <w:uiPriority w:val="99"/>
    <w:unhideWhenUsed/>
    <w:rsid w:val="00AE3FE0"/>
    <w:pPr>
      <w:tabs>
        <w:tab w:val="center" w:pos="4513"/>
        <w:tab w:val="right" w:pos="9026"/>
      </w:tabs>
    </w:pPr>
  </w:style>
  <w:style w:type="character" w:customStyle="1" w:styleId="HeaderChar">
    <w:name w:val="Header Char"/>
    <w:basedOn w:val="DefaultParagraphFont"/>
    <w:link w:val="Header"/>
    <w:uiPriority w:val="99"/>
    <w:rsid w:val="00AE3FE0"/>
    <w:rPr>
      <w:rFonts w:ascii="Calibri" w:hAnsi="Calibri" w:cs="Calibri"/>
    </w:rPr>
  </w:style>
  <w:style w:type="paragraph" w:styleId="Footer">
    <w:name w:val="footer"/>
    <w:basedOn w:val="Normal"/>
    <w:link w:val="FooterChar"/>
    <w:uiPriority w:val="99"/>
    <w:unhideWhenUsed/>
    <w:rsid w:val="00AE3FE0"/>
    <w:pPr>
      <w:tabs>
        <w:tab w:val="center" w:pos="4513"/>
        <w:tab w:val="right" w:pos="9026"/>
      </w:tabs>
    </w:pPr>
  </w:style>
  <w:style w:type="character" w:customStyle="1" w:styleId="FooterChar">
    <w:name w:val="Footer Char"/>
    <w:basedOn w:val="DefaultParagraphFont"/>
    <w:link w:val="Footer"/>
    <w:uiPriority w:val="99"/>
    <w:rsid w:val="00AE3FE0"/>
    <w:rPr>
      <w:rFonts w:ascii="Calibri" w:hAnsi="Calibri" w:cs="Calibri"/>
    </w:rPr>
  </w:style>
  <w:style w:type="character" w:styleId="CommentReference">
    <w:name w:val="annotation reference"/>
    <w:basedOn w:val="DefaultParagraphFont"/>
    <w:uiPriority w:val="99"/>
    <w:semiHidden/>
    <w:unhideWhenUsed/>
    <w:rsid w:val="002768BD"/>
    <w:rPr>
      <w:sz w:val="16"/>
      <w:szCs w:val="16"/>
    </w:rPr>
  </w:style>
  <w:style w:type="paragraph" w:styleId="CommentText">
    <w:name w:val="annotation text"/>
    <w:basedOn w:val="Normal"/>
    <w:link w:val="CommentTextChar"/>
    <w:uiPriority w:val="99"/>
    <w:semiHidden/>
    <w:unhideWhenUsed/>
    <w:rsid w:val="002768BD"/>
    <w:rPr>
      <w:sz w:val="20"/>
      <w:szCs w:val="20"/>
    </w:rPr>
  </w:style>
  <w:style w:type="character" w:customStyle="1" w:styleId="CommentTextChar">
    <w:name w:val="Comment Text Char"/>
    <w:basedOn w:val="DefaultParagraphFont"/>
    <w:link w:val="CommentText"/>
    <w:uiPriority w:val="99"/>
    <w:semiHidden/>
    <w:rsid w:val="002768B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768BD"/>
    <w:rPr>
      <w:b/>
      <w:bCs/>
    </w:rPr>
  </w:style>
  <w:style w:type="character" w:customStyle="1" w:styleId="CommentSubjectChar">
    <w:name w:val="Comment Subject Char"/>
    <w:basedOn w:val="CommentTextChar"/>
    <w:link w:val="CommentSubject"/>
    <w:uiPriority w:val="99"/>
    <w:semiHidden/>
    <w:rsid w:val="002768BD"/>
    <w:rPr>
      <w:rFonts w:ascii="Calibri" w:hAnsi="Calibri" w:cs="Calibri"/>
      <w:b/>
      <w:bCs/>
      <w:sz w:val="20"/>
      <w:szCs w:val="20"/>
    </w:rPr>
  </w:style>
  <w:style w:type="paragraph" w:styleId="Revision">
    <w:name w:val="Revision"/>
    <w:hidden/>
    <w:uiPriority w:val="99"/>
    <w:semiHidden/>
    <w:rsid w:val="00C3731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asha.peacock@nwupc.ac.uk" TargetMode="External"/><Relationship Id="rId5" Type="http://schemas.openxmlformats.org/officeDocument/2006/relationships/footnotes" Target="footnotes.xml"/><Relationship Id="rId10" Type="http://schemas.openxmlformats.org/officeDocument/2006/relationships/hyperlink" Target="https://www.hecontracts.co.uk/agreements/764" TargetMode="External"/><Relationship Id="rId4" Type="http://schemas.openxmlformats.org/officeDocument/2006/relationships/webSettings" Target="webSettings.xml"/><Relationship Id="rId9" Type="http://schemas.openxmlformats.org/officeDocument/2006/relationships/hyperlink" Target="https://nwupc.ac.uk/agreements/764?agreements=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4949</Characters>
  <Application>Microsoft Office Word</Application>
  <DocSecurity>4</DocSecurity>
  <Lines>260</Lines>
  <Paragraphs>136</Paragraphs>
  <ScaleCrop>false</ScaleCrop>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McIntyre</dc:creator>
  <cp:keywords/>
  <dc:description/>
  <cp:lastModifiedBy>David McIntyre</cp:lastModifiedBy>
  <cp:revision>2</cp:revision>
  <dcterms:created xsi:type="dcterms:W3CDTF">2021-09-08T15:48:00Z</dcterms:created>
  <dcterms:modified xsi:type="dcterms:W3CDTF">2021-09-08T15:48:00Z</dcterms:modified>
</cp:coreProperties>
</file>